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60" w:lineRule="auto"/>
        <w:jc w:val="center"/>
        <w:rPr>
          <w:rFonts w:ascii="黑体" w:hAnsi="黑体" w:eastAsia="黑体"/>
          <w:b/>
          <w:bCs/>
          <w:sz w:val="32"/>
          <w:szCs w:val="32"/>
        </w:rPr>
      </w:pPr>
      <w:r>
        <w:rPr>
          <w:rFonts w:hint="eastAsia" w:ascii="黑体" w:hAnsi="黑体" w:eastAsia="黑体"/>
          <w:b/>
          <w:bCs/>
          <w:sz w:val="32"/>
          <w:szCs w:val="32"/>
        </w:rPr>
        <w:t>东湖高新区政府</w:t>
      </w:r>
      <w:r>
        <w:rPr>
          <w:rFonts w:hint="eastAsia" w:ascii="黑体" w:hAnsi="黑体" w:eastAsia="黑体"/>
          <w:b/>
          <w:bCs/>
          <w:sz w:val="32"/>
          <w:szCs w:val="32"/>
          <w:lang w:eastAsia="zh-CN"/>
        </w:rPr>
        <w:t>分散</w:t>
      </w:r>
      <w:r>
        <w:rPr>
          <w:rFonts w:hint="eastAsia" w:ascii="黑体" w:hAnsi="黑体" w:eastAsia="黑体"/>
          <w:b/>
          <w:bCs/>
          <w:sz w:val="32"/>
          <w:szCs w:val="32"/>
        </w:rPr>
        <w:t>采购项目需求对接表</w:t>
      </w:r>
    </w:p>
    <w:p>
      <w:pPr>
        <w:wordWrap w:val="0"/>
        <w:snapToGrid w:val="0"/>
        <w:spacing w:line="300" w:lineRule="auto"/>
        <w:jc w:val="right"/>
        <w:rPr>
          <w:rFonts w:ascii="宋体" w:hAnsi="宋体" w:eastAsia="宋体"/>
        </w:rPr>
      </w:pPr>
    </w:p>
    <w:tbl>
      <w:tblPr>
        <w:tblStyle w:val="11"/>
        <w:tblW w:w="90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57" w:type="dxa"/>
        </w:tblCellMar>
      </w:tblPr>
      <w:tblGrid>
        <w:gridCol w:w="2123"/>
        <w:gridCol w:w="2124"/>
        <w:gridCol w:w="2124"/>
        <w:gridCol w:w="27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67" w:hRule="atLeast"/>
          <w:jc w:val="center"/>
        </w:trPr>
        <w:tc>
          <w:tcPr>
            <w:tcW w:w="2123" w:type="dxa"/>
            <w:vAlign w:val="center"/>
          </w:tcPr>
          <w:p>
            <w:pPr>
              <w:snapToGrid w:val="0"/>
              <w:jc w:val="center"/>
              <w:rPr>
                <w:rFonts w:ascii="宋体" w:hAnsi="宋体" w:eastAsia="宋体"/>
                <w:color w:val="auto"/>
                <w:szCs w:val="21"/>
              </w:rPr>
            </w:pPr>
            <w:r>
              <w:rPr>
                <w:rFonts w:hint="eastAsia" w:ascii="宋体" w:hAnsi="宋体" w:eastAsia="宋体"/>
                <w:color w:val="auto"/>
                <w:szCs w:val="21"/>
              </w:rPr>
              <w:t>采购人单位名称</w:t>
            </w:r>
          </w:p>
        </w:tc>
        <w:tc>
          <w:tcPr>
            <w:tcW w:w="6976" w:type="dxa"/>
            <w:gridSpan w:val="3"/>
            <w:vAlign w:val="center"/>
          </w:tcPr>
          <w:p>
            <w:pPr>
              <w:snapToGrid w:val="0"/>
              <w:jc w:val="center"/>
              <w:rPr>
                <w:rFonts w:ascii="宋体" w:hAnsi="宋体" w:eastAsia="宋体"/>
                <w:color w:val="auto"/>
                <w:szCs w:val="21"/>
              </w:rPr>
            </w:pPr>
            <w:r>
              <w:rPr>
                <w:rFonts w:hint="eastAsia" w:ascii="宋体" w:hAnsi="宋体" w:eastAsia="宋体"/>
                <w:color w:val="auto"/>
                <w:szCs w:val="21"/>
              </w:rPr>
              <w:t>武汉东湖新技术开发区建设管理和交通局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67" w:hRule="atLeast"/>
          <w:jc w:val="center"/>
        </w:trPr>
        <w:tc>
          <w:tcPr>
            <w:tcW w:w="2123" w:type="dxa"/>
            <w:vAlign w:val="center"/>
          </w:tcPr>
          <w:p>
            <w:pPr>
              <w:snapToGrid w:val="0"/>
              <w:jc w:val="center"/>
              <w:rPr>
                <w:rFonts w:ascii="宋体" w:hAnsi="宋体" w:eastAsia="宋体"/>
                <w:color w:val="auto"/>
                <w:szCs w:val="21"/>
              </w:rPr>
            </w:pPr>
            <w:r>
              <w:rPr>
                <w:rFonts w:hint="eastAsia" w:ascii="宋体" w:hAnsi="宋体" w:eastAsia="宋体"/>
                <w:color w:val="auto"/>
                <w:szCs w:val="21"/>
              </w:rPr>
              <w:t>联系人</w:t>
            </w:r>
          </w:p>
        </w:tc>
        <w:tc>
          <w:tcPr>
            <w:tcW w:w="2124" w:type="dxa"/>
            <w:vAlign w:val="center"/>
          </w:tcPr>
          <w:p>
            <w:pPr>
              <w:snapToGrid w:val="0"/>
              <w:jc w:val="center"/>
              <w:rPr>
                <w:rFonts w:hint="eastAsia" w:ascii="宋体" w:hAnsi="宋体" w:eastAsia="宋体"/>
                <w:color w:val="auto"/>
                <w:szCs w:val="21"/>
                <w:lang w:eastAsia="zh-CN"/>
              </w:rPr>
            </w:pPr>
            <w:r>
              <w:rPr>
                <w:rFonts w:hint="eastAsia" w:ascii="宋体" w:hAnsi="宋体" w:eastAsia="宋体"/>
                <w:color w:val="auto"/>
                <w:szCs w:val="21"/>
                <w:lang w:val="en-US" w:eastAsia="zh-CN"/>
              </w:rPr>
              <w:t>段成玲</w:t>
            </w:r>
          </w:p>
        </w:tc>
        <w:tc>
          <w:tcPr>
            <w:tcW w:w="2124" w:type="dxa"/>
            <w:vAlign w:val="center"/>
          </w:tcPr>
          <w:p>
            <w:pPr>
              <w:snapToGrid w:val="0"/>
              <w:jc w:val="center"/>
              <w:rPr>
                <w:rFonts w:ascii="宋体" w:hAnsi="宋体" w:eastAsia="宋体"/>
                <w:color w:val="auto"/>
                <w:szCs w:val="21"/>
              </w:rPr>
            </w:pPr>
            <w:r>
              <w:rPr>
                <w:rFonts w:hint="eastAsia" w:ascii="宋体" w:hAnsi="宋体" w:eastAsia="宋体"/>
                <w:color w:val="auto"/>
                <w:szCs w:val="21"/>
              </w:rPr>
              <w:t>联系电话</w:t>
            </w:r>
          </w:p>
        </w:tc>
        <w:tc>
          <w:tcPr>
            <w:tcW w:w="2728" w:type="dxa"/>
            <w:vAlign w:val="center"/>
          </w:tcPr>
          <w:p>
            <w:pPr>
              <w:snapToGrid w:val="0"/>
              <w:jc w:val="center"/>
              <w:rPr>
                <w:rFonts w:hint="default" w:ascii="宋体" w:hAnsi="宋体" w:eastAsia="宋体"/>
                <w:color w:val="auto"/>
                <w:szCs w:val="21"/>
                <w:lang w:val="en-US" w:eastAsia="zh-CN"/>
              </w:rPr>
            </w:pPr>
            <w:r>
              <w:rPr>
                <w:rFonts w:hint="eastAsia" w:ascii="宋体" w:hAnsi="宋体" w:eastAsia="宋体"/>
                <w:color w:val="auto"/>
                <w:szCs w:val="21"/>
              </w:rPr>
              <w:t>027-6788</w:t>
            </w:r>
            <w:r>
              <w:rPr>
                <w:rFonts w:hint="eastAsia" w:ascii="宋体" w:hAnsi="宋体" w:eastAsia="宋体"/>
                <w:color w:val="auto"/>
                <w:szCs w:val="21"/>
                <w:lang w:val="en-US" w:eastAsia="zh-CN"/>
              </w:rPr>
              <w:t>0432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67" w:hRule="atLeast"/>
          <w:jc w:val="center"/>
        </w:trPr>
        <w:tc>
          <w:tcPr>
            <w:tcW w:w="2123" w:type="dxa"/>
            <w:vAlign w:val="center"/>
          </w:tcPr>
          <w:p>
            <w:pPr>
              <w:snapToGrid w:val="0"/>
              <w:jc w:val="center"/>
              <w:rPr>
                <w:rFonts w:ascii="宋体" w:hAnsi="宋体" w:eastAsia="宋体"/>
                <w:color w:val="auto"/>
                <w:szCs w:val="21"/>
              </w:rPr>
            </w:pPr>
            <w:r>
              <w:rPr>
                <w:rFonts w:hint="eastAsia" w:ascii="宋体" w:hAnsi="宋体" w:eastAsia="宋体"/>
                <w:color w:val="auto"/>
                <w:szCs w:val="21"/>
              </w:rPr>
              <w:t>采购项目名称</w:t>
            </w:r>
          </w:p>
        </w:tc>
        <w:tc>
          <w:tcPr>
            <w:tcW w:w="6976" w:type="dxa"/>
            <w:gridSpan w:val="3"/>
            <w:vAlign w:val="center"/>
          </w:tcPr>
          <w:p>
            <w:pPr>
              <w:snapToGrid w:val="0"/>
              <w:jc w:val="center"/>
              <w:rPr>
                <w:rFonts w:hint="default" w:ascii="宋体" w:hAnsi="宋体" w:eastAsia="宋体"/>
                <w:color w:val="auto"/>
                <w:szCs w:val="21"/>
                <w:lang w:val="en-US"/>
              </w:rPr>
            </w:pPr>
            <w:r>
              <w:rPr>
                <w:rFonts w:hint="eastAsia" w:ascii="宋体" w:hAnsi="宋体" w:eastAsia="宋体"/>
                <w:color w:val="auto"/>
                <w:szCs w:val="21"/>
                <w:lang w:val="en-US" w:eastAsia="zh-CN"/>
              </w:rPr>
              <w:t>治超不停车检测项目运维服务项目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67" w:hRule="atLeast"/>
          <w:jc w:val="center"/>
        </w:trPr>
        <w:tc>
          <w:tcPr>
            <w:tcW w:w="2123" w:type="dxa"/>
            <w:vAlign w:val="center"/>
          </w:tcPr>
          <w:p>
            <w:pPr>
              <w:snapToGrid w:val="0"/>
              <w:jc w:val="center"/>
              <w:rPr>
                <w:rFonts w:ascii="宋体" w:hAnsi="宋体" w:eastAsia="宋体"/>
                <w:color w:val="auto"/>
                <w:szCs w:val="21"/>
              </w:rPr>
            </w:pPr>
            <w:r>
              <w:rPr>
                <w:rFonts w:hint="eastAsia" w:ascii="宋体" w:hAnsi="宋体" w:eastAsia="宋体"/>
                <w:color w:val="auto"/>
                <w:szCs w:val="21"/>
              </w:rPr>
              <w:t>政府采购计划生成备案单编号</w:t>
            </w:r>
          </w:p>
        </w:tc>
        <w:tc>
          <w:tcPr>
            <w:tcW w:w="6976" w:type="dxa"/>
            <w:gridSpan w:val="3"/>
            <w:vAlign w:val="center"/>
          </w:tcPr>
          <w:p>
            <w:pPr>
              <w:snapToGrid w:val="0"/>
              <w:jc w:val="center"/>
              <w:rPr>
                <w:rFonts w:hint="default" w:ascii="宋体" w:hAnsi="宋体" w:eastAsia="宋体"/>
                <w:color w:val="auto"/>
                <w:szCs w:val="21"/>
                <w:lang w:val="en-US" w:eastAsia="zh-CN"/>
              </w:rPr>
            </w:pPr>
            <w:r>
              <w:rPr>
                <w:rFonts w:hint="eastAsia" w:ascii="宋体" w:hAnsi="宋体" w:eastAsia="宋体"/>
                <w:color w:val="auto"/>
                <w:szCs w:val="21"/>
                <w:lang w:val="en-US" w:eastAsia="zh-CN"/>
              </w:rPr>
              <w:t>420108-2026-00916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67" w:hRule="atLeast"/>
          <w:jc w:val="center"/>
        </w:trPr>
        <w:tc>
          <w:tcPr>
            <w:tcW w:w="2123" w:type="dxa"/>
            <w:vAlign w:val="center"/>
          </w:tcPr>
          <w:p>
            <w:pPr>
              <w:snapToGrid w:val="0"/>
              <w:jc w:val="center"/>
              <w:rPr>
                <w:rFonts w:ascii="宋体" w:hAnsi="宋体" w:eastAsia="宋体"/>
                <w:color w:val="auto"/>
                <w:szCs w:val="21"/>
              </w:rPr>
            </w:pPr>
            <w:r>
              <w:rPr>
                <w:rFonts w:hint="eastAsia" w:ascii="宋体" w:hAnsi="宋体" w:eastAsia="宋体"/>
                <w:color w:val="auto"/>
                <w:szCs w:val="21"/>
              </w:rPr>
              <w:t>预算金额（万元）</w:t>
            </w:r>
          </w:p>
        </w:tc>
        <w:tc>
          <w:tcPr>
            <w:tcW w:w="2124" w:type="dxa"/>
            <w:vAlign w:val="center"/>
          </w:tcPr>
          <w:p>
            <w:pPr>
              <w:snapToGrid w:val="0"/>
              <w:jc w:val="center"/>
              <w:rPr>
                <w:rFonts w:hint="default" w:ascii="宋体" w:hAnsi="宋体" w:eastAsia="宋体"/>
                <w:color w:val="auto"/>
                <w:szCs w:val="21"/>
                <w:lang w:val="en-US" w:eastAsia="zh-CN"/>
              </w:rPr>
            </w:pPr>
            <w:r>
              <w:rPr>
                <w:rFonts w:hint="eastAsia" w:ascii="宋体" w:hAnsi="宋体" w:eastAsia="宋体"/>
                <w:color w:val="auto"/>
                <w:szCs w:val="21"/>
                <w:lang w:val="en-US" w:eastAsia="zh-CN"/>
              </w:rPr>
              <w:t>100</w:t>
            </w:r>
          </w:p>
        </w:tc>
        <w:tc>
          <w:tcPr>
            <w:tcW w:w="2124" w:type="dxa"/>
            <w:vAlign w:val="center"/>
          </w:tcPr>
          <w:p>
            <w:pPr>
              <w:snapToGrid w:val="0"/>
              <w:jc w:val="center"/>
              <w:rPr>
                <w:rFonts w:ascii="宋体" w:hAnsi="宋体" w:eastAsia="宋体"/>
                <w:color w:val="auto"/>
                <w:szCs w:val="21"/>
              </w:rPr>
            </w:pPr>
            <w:r>
              <w:rPr>
                <w:rFonts w:hint="eastAsia" w:ascii="宋体" w:hAnsi="宋体" w:eastAsia="宋体"/>
                <w:color w:val="auto"/>
                <w:szCs w:val="21"/>
              </w:rPr>
              <w:t>采购方式</w:t>
            </w:r>
          </w:p>
        </w:tc>
        <w:tc>
          <w:tcPr>
            <w:tcW w:w="2728" w:type="dxa"/>
            <w:vAlign w:val="center"/>
          </w:tcPr>
          <w:p>
            <w:pPr>
              <w:snapToGrid w:val="0"/>
              <w:jc w:val="center"/>
              <w:rPr>
                <w:rFonts w:hint="eastAsia" w:ascii="宋体" w:hAnsi="宋体" w:eastAsia="宋体"/>
                <w:color w:val="auto"/>
                <w:szCs w:val="21"/>
                <w:lang w:eastAsia="zh-CN"/>
              </w:rPr>
            </w:pPr>
            <w:r>
              <w:rPr>
                <w:rFonts w:hint="eastAsia" w:ascii="宋体" w:hAnsi="宋体" w:eastAsia="宋体"/>
                <w:color w:val="auto"/>
                <w:szCs w:val="21"/>
                <w:lang w:eastAsia="zh-CN"/>
              </w:rPr>
              <w:t>电子商城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67" w:hRule="atLeast"/>
          <w:jc w:val="center"/>
        </w:trPr>
        <w:tc>
          <w:tcPr>
            <w:tcW w:w="9099" w:type="dxa"/>
            <w:gridSpan w:val="4"/>
            <w:vAlign w:val="center"/>
          </w:tcPr>
          <w:p>
            <w:pPr>
              <w:snapToGrid w:val="0"/>
              <w:jc w:val="center"/>
              <w:rPr>
                <w:rFonts w:ascii="宋体" w:hAnsi="宋体" w:eastAsia="宋体"/>
                <w:color w:val="auto"/>
                <w:szCs w:val="21"/>
              </w:rPr>
            </w:pPr>
            <w:r>
              <w:rPr>
                <w:rFonts w:hint="eastAsia" w:ascii="宋体" w:hAnsi="宋体" w:eastAsia="宋体"/>
                <w:color w:val="auto"/>
                <w:szCs w:val="21"/>
              </w:rPr>
              <w:t>采购需求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1833" w:hRule="atLeast"/>
          <w:jc w:val="center"/>
        </w:trPr>
        <w:tc>
          <w:tcPr>
            <w:tcW w:w="9099" w:type="dxa"/>
            <w:gridSpan w:val="4"/>
            <w:vAlign w:val="center"/>
          </w:tcPr>
          <w:p>
            <w:pPr>
              <w:snapToGrid w:val="0"/>
              <w:jc w:val="left"/>
              <w:rPr>
                <w:rFonts w:ascii="宋体" w:hAnsi="宋体" w:eastAsia="宋体"/>
                <w:color w:val="auto"/>
                <w:szCs w:val="21"/>
                <w:highlight w:val="none"/>
              </w:rPr>
            </w:pPr>
            <w:r>
              <w:rPr>
                <w:rFonts w:hint="eastAsia" w:ascii="宋体" w:hAnsi="宋体" w:eastAsia="宋体"/>
                <w:color w:val="auto"/>
                <w:szCs w:val="21"/>
                <w:highlight w:val="none"/>
              </w:rPr>
              <w:t>一、采购清单</w:t>
            </w:r>
          </w:p>
          <w:p>
            <w:pPr>
              <w:snapToGrid w:val="0"/>
              <w:jc w:val="left"/>
              <w:rPr>
                <w:rFonts w:hint="eastAsia" w:ascii="Times New Roman" w:hAnsi="Times New Roman" w:eastAsia="仿宋_GB2312" w:cs="Times New Roman"/>
                <w:color w:val="auto"/>
                <w:sz w:val="22"/>
                <w:szCs w:val="22"/>
                <w:lang w:val="en-US" w:eastAsia="zh-CN"/>
              </w:rPr>
            </w:pPr>
            <w:r>
              <w:rPr>
                <w:rFonts w:hint="eastAsia" w:ascii="宋体" w:hAnsi="宋体" w:eastAsia="宋体"/>
                <w:color w:val="auto"/>
                <w:szCs w:val="21"/>
                <w:highlight w:val="none"/>
              </w:rPr>
              <w:t>（一）</w:t>
            </w:r>
            <w:r>
              <w:rPr>
                <w:rFonts w:hint="eastAsia" w:ascii="宋体" w:hAnsi="宋体" w:eastAsia="宋体"/>
                <w:color w:val="auto"/>
                <w:szCs w:val="21"/>
                <w:highlight w:val="none"/>
                <w:lang w:val="en-US" w:eastAsia="zh-CN"/>
              </w:rPr>
              <w:t>治超不停车检测系统维护</w:t>
            </w:r>
          </w:p>
          <w:p>
            <w:pPr>
              <w:snapToGrid w:val="0"/>
              <w:jc w:val="left"/>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1、负责系统平台的每日巡检服务，实时监测平台运行情况，发现故障与问题后，及时协调技术团队跟进解决，包含货运大数据服务、车辆检测、执法管理、指挥调度、运行监测、综合分析与辅助决策、移动执法APP、遮挡号牌识别等功能维护，能够对经过辖区的重货车辆进行动态称重监测、实时定位追踪，大大减少了巡查人员的工作量，提高了执法办案的精准度。</w:t>
            </w:r>
          </w:p>
          <w:p>
            <w:pPr>
              <w:snapToGrid w:val="0"/>
              <w:jc w:val="left"/>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2、提供云端数据存储服务，按需配置服务器与存储硬件资源，同时需搭载全方位安全防护、密码管理等服务，数据存储量约33Tb，存储时间：1年，全方位保障数据使用安全。</w:t>
            </w:r>
          </w:p>
          <w:p>
            <w:pPr>
              <w:snapToGrid w:val="0"/>
              <w:jc w:val="left"/>
              <w:rPr>
                <w:rFonts w:hint="eastAsia" w:ascii="Times New Roman" w:hAnsi="Times New Roman" w:eastAsia="仿宋_GB2312" w:cs="Times New Roman"/>
                <w:color w:val="auto"/>
                <w:sz w:val="22"/>
                <w:szCs w:val="22"/>
                <w:lang w:val="en-US" w:eastAsia="zh-CN"/>
              </w:rPr>
            </w:pPr>
            <w:r>
              <w:rPr>
                <w:rFonts w:hint="eastAsia" w:ascii="宋体" w:hAnsi="宋体" w:eastAsia="宋体"/>
                <w:color w:val="auto"/>
                <w:szCs w:val="21"/>
                <w:highlight w:val="none"/>
                <w:lang w:val="en-US" w:eastAsia="zh-CN"/>
              </w:rPr>
              <w:t>（二）设备维护</w:t>
            </w:r>
          </w:p>
          <w:p>
            <w:pPr>
              <w:snapToGrid w:val="0"/>
              <w:jc w:val="left"/>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1、包含6个站点的设备维护：青王路、花山大道、光谷三路、武黄大道、南环线、高新八路。具体设备包含称台、称重电子设备、线圈、数据处理单元、相机、信息发布屏、机柜内所有设备、称重软件、匹配及信息发布软件、数据上传软件及现场线路等设备的维护、巡查检测等，保障设备的正常运行，数据上传等日常工作。</w:t>
            </w:r>
          </w:p>
          <w:p>
            <w:pPr>
              <w:snapToGrid w:val="0"/>
              <w:jc w:val="left"/>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2、计量检定：全力配合计量检定工作开展，全程提供技术支持、现场支撑与问题处置服务，确保检定结果精准，流程合规。</w:t>
            </w:r>
          </w:p>
          <w:p>
            <w:pPr>
              <w:snapToGrid w:val="0"/>
              <w:jc w:val="left"/>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三</w:t>
            </w: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网络链路维护</w:t>
            </w:r>
          </w:p>
          <w:p>
            <w:pPr>
              <w:snapToGrid w:val="0"/>
              <w:jc w:val="left"/>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负责网络链路的常态化维护工作，及时处理线路异常、卡顿、中断等问题，实时保障网络链路通畅，确保网络稳定可靠运行。具体站点及带宽要求如下（具体以合同为准）：</w:t>
            </w:r>
          </w:p>
          <w:p>
            <w:pPr>
              <w:snapToGrid w:val="0"/>
              <w:jc w:val="left"/>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1、青王路——交通大厦，100M。</w:t>
            </w:r>
          </w:p>
          <w:p>
            <w:pPr>
              <w:snapToGrid w:val="0"/>
              <w:jc w:val="left"/>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2、花山大道——交通大厦，100M。</w:t>
            </w:r>
          </w:p>
          <w:p>
            <w:pPr>
              <w:snapToGrid w:val="0"/>
              <w:jc w:val="left"/>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3、光谷三路——交通大厦，100M。</w:t>
            </w:r>
          </w:p>
          <w:p>
            <w:pPr>
              <w:snapToGrid w:val="0"/>
              <w:jc w:val="left"/>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4、武黄大道——交通大厦，200M。</w:t>
            </w:r>
          </w:p>
          <w:p>
            <w:pPr>
              <w:snapToGrid w:val="0"/>
              <w:jc w:val="left"/>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5、南环线——交通大厦，100M。</w:t>
            </w:r>
          </w:p>
          <w:p>
            <w:pPr>
              <w:snapToGrid w:val="0"/>
              <w:jc w:val="left"/>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6、高新八路——交通大厦，100M。</w:t>
            </w:r>
          </w:p>
          <w:p>
            <w:pPr>
              <w:snapToGrid w:val="0"/>
              <w:jc w:val="left"/>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7、区治超平台——市治超平台，400M。</w:t>
            </w:r>
          </w:p>
          <w:p>
            <w:pPr>
              <w:snapToGrid w:val="0"/>
              <w:jc w:val="left"/>
              <w:rPr>
                <w:rFonts w:ascii="宋体" w:hAnsi="宋体" w:eastAsia="宋体"/>
                <w:color w:val="auto"/>
                <w:szCs w:val="21"/>
                <w:highlight w:val="none"/>
              </w:rPr>
            </w:pPr>
            <w:r>
              <w:rPr>
                <w:rFonts w:hint="eastAsia" w:ascii="宋体" w:hAnsi="宋体" w:eastAsia="宋体"/>
                <w:color w:val="auto"/>
                <w:szCs w:val="21"/>
                <w:highlight w:val="none"/>
              </w:rPr>
              <w:t>二、商务要求</w:t>
            </w:r>
          </w:p>
          <w:p>
            <w:pPr>
              <w:snapToGrid w:val="0"/>
              <w:jc w:val="left"/>
              <w:rPr>
                <w:rFonts w:hint="eastAsia" w:ascii="宋体" w:hAnsi="宋体" w:eastAsia="宋体"/>
                <w:color w:val="auto"/>
                <w:szCs w:val="21"/>
                <w:highlight w:val="none"/>
              </w:rPr>
            </w:pPr>
            <w:r>
              <w:rPr>
                <w:rFonts w:hint="eastAsia" w:ascii="宋体" w:hAnsi="宋体" w:eastAsia="宋体"/>
                <w:color w:val="auto"/>
                <w:szCs w:val="21"/>
                <w:highlight w:val="none"/>
              </w:rPr>
              <w:t>（一）预算金额</w:t>
            </w:r>
          </w:p>
          <w:p>
            <w:pPr>
              <w:snapToGrid w:val="0"/>
              <w:jc w:val="left"/>
              <w:rPr>
                <w:rFonts w:hint="eastAsia" w:ascii="宋体" w:hAnsi="宋体" w:eastAsia="宋体"/>
                <w:color w:val="auto"/>
                <w:szCs w:val="21"/>
                <w:highlight w:val="none"/>
              </w:rPr>
            </w:pPr>
            <w:r>
              <w:rPr>
                <w:rFonts w:hint="eastAsia" w:ascii="宋体" w:hAnsi="宋体" w:eastAsia="宋体"/>
                <w:color w:val="auto"/>
                <w:szCs w:val="21"/>
                <w:highlight w:val="none"/>
              </w:rPr>
              <w:t>预算金额：人民币</w:t>
            </w:r>
            <w:r>
              <w:rPr>
                <w:rFonts w:hint="eastAsia" w:ascii="宋体" w:hAnsi="宋体" w:eastAsia="宋体"/>
                <w:color w:val="auto"/>
                <w:szCs w:val="21"/>
                <w:highlight w:val="none"/>
                <w:lang w:val="en-US" w:eastAsia="zh-CN"/>
              </w:rPr>
              <w:t>100</w:t>
            </w:r>
            <w:r>
              <w:rPr>
                <w:rFonts w:hint="eastAsia" w:ascii="宋体" w:hAnsi="宋体" w:eastAsia="宋体"/>
                <w:color w:val="auto"/>
                <w:szCs w:val="21"/>
                <w:highlight w:val="none"/>
              </w:rPr>
              <w:t>万元。</w:t>
            </w:r>
          </w:p>
          <w:p>
            <w:pPr>
              <w:snapToGrid w:val="0"/>
              <w:jc w:val="left"/>
              <w:rPr>
                <w:rFonts w:hint="eastAsia" w:ascii="宋体" w:hAnsi="宋体" w:eastAsia="宋体"/>
                <w:color w:val="auto"/>
                <w:szCs w:val="21"/>
                <w:highlight w:val="none"/>
              </w:rPr>
            </w:pPr>
            <w:r>
              <w:rPr>
                <w:rFonts w:hint="eastAsia" w:ascii="宋体" w:hAnsi="宋体" w:eastAsia="宋体"/>
                <w:color w:val="auto"/>
                <w:szCs w:val="21"/>
                <w:highlight w:val="none"/>
              </w:rPr>
              <w:t>（二）合同履约期限</w:t>
            </w:r>
          </w:p>
          <w:p>
            <w:pPr>
              <w:snapToGrid w:val="0"/>
              <w:jc w:val="left"/>
              <w:rPr>
                <w:rFonts w:hint="eastAsia" w:ascii="宋体" w:hAnsi="宋体" w:eastAsia="宋体"/>
                <w:color w:val="auto"/>
                <w:szCs w:val="21"/>
                <w:highlight w:val="none"/>
              </w:rPr>
            </w:pPr>
            <w:r>
              <w:rPr>
                <w:rFonts w:hint="eastAsia" w:ascii="宋体" w:hAnsi="宋体" w:eastAsia="宋体"/>
                <w:color w:val="auto"/>
                <w:szCs w:val="21"/>
                <w:highlight w:val="none"/>
              </w:rPr>
              <w:t>合同履约期限：1年（自合同签订之日起12个月）。服务期满采购人对成交人进行综合考评、考核、评估，依据综合考评情况可续签下一年服务合同，续签最长不超过两年。</w:t>
            </w:r>
          </w:p>
          <w:p>
            <w:pPr>
              <w:snapToGrid w:val="0"/>
              <w:jc w:val="left"/>
              <w:rPr>
                <w:rFonts w:hint="eastAsia" w:ascii="宋体" w:hAnsi="宋体" w:eastAsia="宋体"/>
                <w:color w:val="auto"/>
                <w:szCs w:val="21"/>
                <w:highlight w:val="none"/>
              </w:rPr>
            </w:pPr>
            <w:r>
              <w:rPr>
                <w:rFonts w:hint="eastAsia" w:ascii="宋体" w:hAnsi="宋体" w:eastAsia="宋体"/>
                <w:color w:val="auto"/>
                <w:szCs w:val="21"/>
                <w:highlight w:val="none"/>
              </w:rPr>
              <w:t>（三）服务地点</w:t>
            </w:r>
          </w:p>
          <w:p>
            <w:pPr>
              <w:snapToGrid w:val="0"/>
              <w:jc w:val="left"/>
              <w:rPr>
                <w:rFonts w:hint="eastAsia" w:ascii="宋体" w:hAnsi="宋体" w:eastAsia="宋体"/>
                <w:color w:val="auto"/>
                <w:szCs w:val="21"/>
                <w:highlight w:val="none"/>
              </w:rPr>
            </w:pPr>
            <w:r>
              <w:rPr>
                <w:rFonts w:hint="eastAsia" w:ascii="宋体" w:hAnsi="宋体" w:eastAsia="宋体"/>
                <w:color w:val="auto"/>
                <w:szCs w:val="21"/>
                <w:highlight w:val="none"/>
              </w:rPr>
              <w:t>服务地点：</w:t>
            </w:r>
            <w:bookmarkStart w:id="0" w:name="_Toc7463"/>
            <w:bookmarkStart w:id="1" w:name="_Toc17574"/>
            <w:r>
              <w:rPr>
                <w:rFonts w:hint="eastAsia" w:ascii="宋体" w:hAnsi="宋体" w:eastAsia="宋体"/>
                <w:color w:val="auto"/>
                <w:szCs w:val="21"/>
                <w:highlight w:val="none"/>
              </w:rPr>
              <w:t>采购人指定地点</w:t>
            </w:r>
          </w:p>
          <w:p>
            <w:pPr>
              <w:snapToGrid w:val="0"/>
              <w:jc w:val="left"/>
              <w:rPr>
                <w:rFonts w:hint="eastAsia" w:ascii="宋体" w:hAnsi="宋体" w:eastAsia="宋体"/>
                <w:color w:val="auto"/>
                <w:szCs w:val="21"/>
                <w:highlight w:val="none"/>
              </w:rPr>
            </w:pPr>
            <w:r>
              <w:rPr>
                <w:rFonts w:hint="eastAsia" w:ascii="宋体" w:hAnsi="宋体" w:eastAsia="宋体"/>
                <w:color w:val="auto"/>
                <w:szCs w:val="21"/>
                <w:highlight w:val="none"/>
                <w:lang w:eastAsia="zh-CN"/>
              </w:rPr>
              <w:t>（四）</w:t>
            </w:r>
            <w:r>
              <w:rPr>
                <w:rFonts w:hint="eastAsia" w:ascii="宋体" w:hAnsi="宋体" w:eastAsia="宋体"/>
                <w:color w:val="auto"/>
                <w:szCs w:val="21"/>
                <w:highlight w:val="none"/>
              </w:rPr>
              <w:t>报价要求</w:t>
            </w:r>
            <w:bookmarkEnd w:id="0"/>
            <w:bookmarkEnd w:id="1"/>
          </w:p>
          <w:p>
            <w:pPr>
              <w:snapToGrid w:val="0"/>
              <w:jc w:val="left"/>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t>1、</w:t>
            </w:r>
            <w:r>
              <w:rPr>
                <w:rFonts w:hint="eastAsia" w:ascii="宋体" w:hAnsi="宋体" w:eastAsia="宋体"/>
                <w:color w:val="auto"/>
                <w:szCs w:val="21"/>
                <w:highlight w:val="none"/>
              </w:rPr>
              <w:t>采用</w:t>
            </w:r>
            <w:r>
              <w:rPr>
                <w:rFonts w:hint="eastAsia" w:ascii="宋体" w:hAnsi="宋体" w:eastAsia="宋体"/>
                <w:color w:val="auto"/>
                <w:szCs w:val="21"/>
                <w:highlight w:val="none"/>
                <w:lang w:val="en-US" w:eastAsia="zh-CN"/>
              </w:rPr>
              <w:t>单价招标</w:t>
            </w:r>
            <w:r>
              <w:rPr>
                <w:rFonts w:hint="eastAsia" w:ascii="宋体" w:hAnsi="宋体" w:eastAsia="宋体"/>
                <w:color w:val="auto"/>
                <w:szCs w:val="21"/>
                <w:highlight w:val="none"/>
              </w:rPr>
              <w:t>的形式进行报价，磋商报价应是完成本项目服务内容的总费用，包括人员薪酬福利、设备投入、低值易耗品、办公经费、企业利润、税金等各项直接、间接费用。所有服务人员均应符合国家规定的劳动福利保障。供应商对报价的准确性负责，任何漏报、错报等均是供应商的风险。</w:t>
            </w:r>
          </w:p>
          <w:p>
            <w:pPr>
              <w:snapToGrid w:val="0"/>
              <w:jc w:val="left"/>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t>2、</w:t>
            </w:r>
            <w:r>
              <w:rPr>
                <w:rFonts w:hint="eastAsia" w:ascii="宋体" w:hAnsi="宋体" w:eastAsia="宋体"/>
                <w:color w:val="auto"/>
                <w:szCs w:val="21"/>
                <w:highlight w:val="none"/>
              </w:rPr>
              <w:t>本项目成交价格在合同执行过程中不予调整，供应商应充分考虑合同履行期间的市场风险和国家政策性调整风险系数，并计入磋商报价。除采购内容调整或合同约定的情况外，供应商不得以任何理由在合同执行期间要求予以价格调整。</w:t>
            </w:r>
          </w:p>
          <w:p>
            <w:pPr>
              <w:snapToGrid w:val="0"/>
              <w:jc w:val="left"/>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t>3、</w:t>
            </w:r>
            <w:r>
              <w:rPr>
                <w:rFonts w:hint="eastAsia" w:ascii="宋体" w:hAnsi="宋体" w:eastAsia="宋体"/>
                <w:color w:val="auto"/>
                <w:szCs w:val="21"/>
                <w:highlight w:val="none"/>
              </w:rPr>
              <w:t>供应商磋商报价中包含且应切实支付的人工成本应包含工资以及养老保险、失业保险、医疗保险、工伤保险、生育保险等“五险”。且工资、社保（五险）不得低于国家现行规定的标准。</w:t>
            </w:r>
          </w:p>
          <w:p>
            <w:pPr>
              <w:snapToGrid w:val="0"/>
              <w:jc w:val="left"/>
              <w:rPr>
                <w:rFonts w:hint="eastAsia" w:ascii="宋体" w:hAnsi="宋体" w:eastAsia="宋体"/>
                <w:color w:val="auto"/>
                <w:szCs w:val="21"/>
                <w:highlight w:val="none"/>
              </w:rPr>
            </w:pPr>
            <w:r>
              <w:rPr>
                <w:rFonts w:hint="eastAsia" w:ascii="宋体" w:hAnsi="宋体" w:eastAsia="宋体"/>
                <w:color w:val="auto"/>
                <w:szCs w:val="21"/>
                <w:highlight w:val="none"/>
              </w:rPr>
              <w:t>三、技术要求</w:t>
            </w:r>
          </w:p>
          <w:p>
            <w:pPr>
              <w:snapToGrid w:val="0"/>
              <w:jc w:val="left"/>
              <w:rPr>
                <w:rFonts w:hint="eastAsia" w:ascii="宋体" w:hAnsi="宋体" w:eastAsia="宋体"/>
                <w:color w:val="auto"/>
                <w:szCs w:val="21"/>
                <w:highlight w:val="none"/>
              </w:rPr>
            </w:pPr>
            <w:bookmarkStart w:id="2" w:name="_Toc20215"/>
            <w:bookmarkStart w:id="3" w:name="_Toc16673"/>
            <w:bookmarkStart w:id="4" w:name="_Toc61851045"/>
            <w:bookmarkStart w:id="5" w:name="_Toc25222"/>
            <w:bookmarkStart w:id="6" w:name="_Toc61851048"/>
            <w:r>
              <w:rPr>
                <w:rFonts w:hint="eastAsia" w:ascii="宋体" w:hAnsi="宋体" w:eastAsia="宋体"/>
                <w:color w:val="auto"/>
                <w:szCs w:val="21"/>
                <w:highlight w:val="none"/>
              </w:rPr>
              <w:t>（一）采购标的</w:t>
            </w:r>
          </w:p>
          <w:p>
            <w:pPr>
              <w:snapToGrid w:val="0"/>
              <w:jc w:val="left"/>
              <w:rPr>
                <w:rFonts w:hint="eastAsia" w:ascii="宋体" w:hAnsi="宋体" w:eastAsia="宋体"/>
                <w:color w:val="auto"/>
                <w:szCs w:val="21"/>
                <w:highlight w:val="none"/>
              </w:rPr>
            </w:pPr>
            <w:r>
              <w:rPr>
                <w:rFonts w:hint="eastAsia" w:ascii="宋体" w:hAnsi="宋体" w:eastAsia="宋体"/>
                <w:color w:val="auto"/>
                <w:szCs w:val="21"/>
                <w:highlight w:val="none"/>
              </w:rPr>
              <w:t>202</w:t>
            </w:r>
            <w:r>
              <w:rPr>
                <w:rFonts w:hint="eastAsia" w:ascii="宋体" w:hAnsi="宋体" w:eastAsia="宋体"/>
                <w:color w:val="auto"/>
                <w:szCs w:val="21"/>
                <w:highlight w:val="none"/>
                <w:lang w:val="en-US" w:eastAsia="zh-CN"/>
              </w:rPr>
              <w:t>6</w:t>
            </w:r>
            <w:r>
              <w:rPr>
                <w:rFonts w:hint="eastAsia" w:ascii="宋体" w:hAnsi="宋体" w:eastAsia="宋体"/>
                <w:color w:val="auto"/>
                <w:szCs w:val="21"/>
                <w:highlight w:val="none"/>
              </w:rPr>
              <w:t>年</w:t>
            </w:r>
            <w:r>
              <w:rPr>
                <w:rFonts w:hint="eastAsia" w:ascii="宋体" w:hAnsi="宋体" w:eastAsia="宋体"/>
                <w:color w:val="auto"/>
                <w:szCs w:val="21"/>
                <w:lang w:val="en-US" w:eastAsia="zh-CN"/>
              </w:rPr>
              <w:t>治超不停车检测项目运维</w:t>
            </w:r>
            <w:r>
              <w:rPr>
                <w:rFonts w:hint="eastAsia" w:ascii="宋体" w:hAnsi="宋体" w:eastAsia="宋体"/>
                <w:color w:val="auto"/>
                <w:szCs w:val="21"/>
                <w:highlight w:val="none"/>
              </w:rPr>
              <w:t>服务。</w:t>
            </w:r>
          </w:p>
          <w:p>
            <w:pPr>
              <w:snapToGrid w:val="0"/>
              <w:jc w:val="left"/>
              <w:rPr>
                <w:rFonts w:hint="eastAsia" w:ascii="宋体" w:hAnsi="宋体" w:eastAsia="宋体"/>
                <w:color w:val="auto"/>
                <w:szCs w:val="21"/>
                <w:highlight w:val="none"/>
              </w:rPr>
            </w:pPr>
            <w:r>
              <w:rPr>
                <w:rFonts w:hint="eastAsia" w:ascii="宋体" w:hAnsi="宋体" w:eastAsia="宋体"/>
                <w:color w:val="auto"/>
                <w:szCs w:val="21"/>
                <w:highlight w:val="none"/>
              </w:rPr>
              <w:t>（二）采购标的需实现的功能或者目标</w:t>
            </w:r>
          </w:p>
          <w:p>
            <w:pPr>
              <w:snapToGrid w:val="0"/>
              <w:jc w:val="left"/>
              <w:rPr>
                <w:rFonts w:hint="eastAsia" w:ascii="宋体" w:hAnsi="宋体" w:eastAsia="宋体"/>
                <w:color w:val="auto"/>
                <w:szCs w:val="21"/>
                <w:highlight w:val="none"/>
              </w:rPr>
            </w:pPr>
            <w:r>
              <w:rPr>
                <w:rFonts w:hint="eastAsia" w:ascii="宋体" w:hAnsi="宋体" w:eastAsia="宋体"/>
                <w:color w:val="auto"/>
                <w:szCs w:val="21"/>
                <w:highlight w:val="none"/>
              </w:rPr>
              <w:t>本次采购是对武汉东湖新技术开发区管辖区</w:t>
            </w:r>
            <w:r>
              <w:rPr>
                <w:rFonts w:hint="eastAsia" w:ascii="宋体" w:hAnsi="宋体" w:eastAsia="宋体"/>
                <w:color w:val="auto"/>
                <w:szCs w:val="21"/>
                <w:highlight w:val="none"/>
                <w:lang w:val="en-US" w:eastAsia="zh-CN"/>
              </w:rPr>
              <w:t>不停车检测站点及系统</w:t>
            </w:r>
            <w:r>
              <w:rPr>
                <w:rFonts w:hint="eastAsia" w:ascii="宋体" w:hAnsi="宋体" w:eastAsia="宋体"/>
                <w:color w:val="auto"/>
                <w:szCs w:val="21"/>
                <w:highlight w:val="none"/>
              </w:rPr>
              <w:t>进行</w:t>
            </w:r>
            <w:r>
              <w:rPr>
                <w:rFonts w:hint="eastAsia" w:ascii="宋体" w:hAnsi="宋体" w:eastAsia="宋体"/>
                <w:color w:val="auto"/>
                <w:szCs w:val="21"/>
                <w:highlight w:val="none"/>
                <w:lang w:val="en-US" w:eastAsia="zh-CN"/>
              </w:rPr>
              <w:t>维护服务</w:t>
            </w:r>
            <w:r>
              <w:rPr>
                <w:rFonts w:hint="eastAsia" w:ascii="宋体" w:hAnsi="宋体" w:eastAsia="宋体"/>
                <w:color w:val="auto"/>
                <w:szCs w:val="21"/>
                <w:highlight w:val="none"/>
              </w:rPr>
              <w:t>，配合采购人开展202</w:t>
            </w:r>
            <w:r>
              <w:rPr>
                <w:rFonts w:hint="eastAsia" w:ascii="宋体" w:hAnsi="宋体" w:eastAsia="宋体"/>
                <w:color w:val="auto"/>
                <w:szCs w:val="21"/>
                <w:highlight w:val="none"/>
                <w:lang w:val="en-US" w:eastAsia="zh-CN"/>
              </w:rPr>
              <w:t>6</w:t>
            </w:r>
            <w:r>
              <w:rPr>
                <w:rFonts w:hint="eastAsia" w:ascii="宋体" w:hAnsi="宋体" w:eastAsia="宋体"/>
                <w:color w:val="auto"/>
                <w:szCs w:val="21"/>
                <w:highlight w:val="none"/>
              </w:rPr>
              <w:t>年</w:t>
            </w:r>
            <w:r>
              <w:rPr>
                <w:rFonts w:hint="eastAsia" w:ascii="宋体" w:hAnsi="宋体" w:eastAsia="宋体"/>
                <w:color w:val="auto"/>
                <w:szCs w:val="21"/>
                <w:lang w:val="en-US" w:eastAsia="zh-CN"/>
              </w:rPr>
              <w:t>治超不停车检测项目运维</w:t>
            </w:r>
            <w:r>
              <w:rPr>
                <w:rFonts w:hint="eastAsia" w:ascii="宋体" w:hAnsi="宋体" w:eastAsia="宋体"/>
                <w:color w:val="auto"/>
                <w:szCs w:val="21"/>
                <w:highlight w:val="none"/>
              </w:rPr>
              <w:t>服务。供应商应根据磋商文件所提出的技术和服务要求，提供符合要求的服务工作。</w:t>
            </w:r>
          </w:p>
          <w:p>
            <w:pPr>
              <w:snapToGrid w:val="0"/>
              <w:jc w:val="left"/>
              <w:rPr>
                <w:rFonts w:hint="eastAsia" w:ascii="宋体" w:hAnsi="宋体" w:eastAsia="宋体"/>
                <w:color w:val="auto"/>
                <w:szCs w:val="21"/>
                <w:highlight w:val="none"/>
              </w:rPr>
            </w:pPr>
            <w:r>
              <w:rPr>
                <w:rFonts w:hint="eastAsia" w:ascii="宋体" w:hAnsi="宋体" w:eastAsia="宋体"/>
                <w:color w:val="auto"/>
                <w:szCs w:val="21"/>
                <w:highlight w:val="none"/>
              </w:rPr>
              <w:t>（三）为落实政府采购政策需满足的要求</w:t>
            </w:r>
          </w:p>
          <w:p>
            <w:pPr>
              <w:snapToGrid w:val="0"/>
              <w:jc w:val="left"/>
              <w:rPr>
                <w:rFonts w:hint="eastAsia" w:ascii="宋体" w:hAnsi="宋体" w:eastAsia="宋体"/>
                <w:color w:val="auto"/>
                <w:szCs w:val="21"/>
                <w:highlight w:val="none"/>
              </w:rPr>
            </w:pPr>
            <w:r>
              <w:rPr>
                <w:rFonts w:hint="eastAsia" w:ascii="宋体" w:hAnsi="宋体" w:eastAsia="宋体"/>
                <w:color w:val="auto"/>
                <w:szCs w:val="21"/>
                <w:highlight w:val="none"/>
              </w:rPr>
              <w:t>促进小微型企业发展政策：本项目属于专门面向中小企业预留份额的采购项目，供应商按要求提供证明材料（《中小企业声明函》或《残疾人福利性单位声明函》或监狱企业证明），并对证明材料的内容真实性负责。评标时按材料中声明的企业类型进行评审，若材料中小微型企业的数据等内容不实的，属于提供虚假材料谋取中标，依照《中华人民共和国政府采购法》等国家有关规定追究相应责任。</w:t>
            </w:r>
          </w:p>
          <w:p>
            <w:pPr>
              <w:snapToGrid w:val="0"/>
              <w:jc w:val="left"/>
              <w:rPr>
                <w:rFonts w:hint="eastAsia" w:ascii="宋体" w:hAnsi="宋体" w:eastAsia="宋体"/>
                <w:color w:val="auto"/>
                <w:szCs w:val="21"/>
                <w:highlight w:val="none"/>
              </w:rPr>
            </w:pP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四</w:t>
            </w:r>
            <w:r>
              <w:rPr>
                <w:rFonts w:hint="eastAsia" w:ascii="宋体" w:hAnsi="宋体" w:eastAsia="宋体"/>
                <w:color w:val="auto"/>
                <w:szCs w:val="21"/>
                <w:highlight w:val="none"/>
              </w:rPr>
              <w:t>）采购标的服务内容及要求</w:t>
            </w:r>
          </w:p>
          <w:p>
            <w:pPr>
              <w:snapToGrid w:val="0"/>
              <w:jc w:val="left"/>
              <w:rPr>
                <w:rFonts w:hint="eastAsia" w:ascii="宋体" w:hAnsi="宋体" w:eastAsia="宋体"/>
                <w:color w:val="auto"/>
                <w:szCs w:val="21"/>
                <w:highlight w:val="none"/>
              </w:rPr>
            </w:pPr>
            <w:r>
              <w:rPr>
                <w:rFonts w:hint="eastAsia" w:ascii="宋体" w:hAnsi="宋体" w:eastAsia="宋体"/>
                <w:color w:val="auto"/>
                <w:szCs w:val="21"/>
                <w:highlight w:val="none"/>
              </w:rPr>
              <w:t>组织安全技术人员，协助武汉东湖新技术开发区建设管理和交通局，对辖区内</w:t>
            </w:r>
            <w:r>
              <w:rPr>
                <w:rFonts w:hint="eastAsia" w:ascii="宋体" w:hAnsi="宋体" w:eastAsia="宋体"/>
                <w:color w:val="auto"/>
                <w:szCs w:val="21"/>
                <w:highlight w:val="none"/>
                <w:lang w:val="en-US" w:eastAsia="zh-CN"/>
              </w:rPr>
              <w:t>6个不停车检测站点</w:t>
            </w:r>
            <w:r>
              <w:rPr>
                <w:rFonts w:hint="eastAsia" w:ascii="宋体" w:hAnsi="宋体" w:eastAsia="宋体"/>
                <w:color w:val="auto"/>
                <w:szCs w:val="21"/>
                <w:highlight w:val="none"/>
              </w:rPr>
              <w:t>和</w:t>
            </w:r>
            <w:r>
              <w:rPr>
                <w:rFonts w:hint="eastAsia" w:ascii="宋体" w:hAnsi="宋体" w:eastAsia="宋体"/>
                <w:color w:val="auto"/>
                <w:szCs w:val="21"/>
                <w:highlight w:val="none"/>
                <w:lang w:val="en-US" w:eastAsia="zh-CN"/>
              </w:rPr>
              <w:t>治超不停车检测系统</w:t>
            </w:r>
            <w:r>
              <w:rPr>
                <w:rFonts w:hint="eastAsia" w:ascii="宋体" w:hAnsi="宋体" w:eastAsia="宋体"/>
                <w:color w:val="auto"/>
                <w:szCs w:val="21"/>
                <w:highlight w:val="none"/>
              </w:rPr>
              <w:t>进行</w:t>
            </w:r>
            <w:r>
              <w:rPr>
                <w:rFonts w:hint="eastAsia" w:ascii="宋体" w:hAnsi="宋体" w:eastAsia="宋体"/>
                <w:color w:val="auto"/>
                <w:szCs w:val="21"/>
                <w:highlight w:val="none"/>
                <w:lang w:val="en-US" w:eastAsia="zh-CN"/>
              </w:rPr>
              <w:t>维护</w:t>
            </w:r>
            <w:r>
              <w:rPr>
                <w:rFonts w:hint="eastAsia" w:ascii="宋体" w:hAnsi="宋体" w:eastAsia="宋体"/>
                <w:color w:val="auto"/>
                <w:szCs w:val="21"/>
                <w:highlight w:val="none"/>
              </w:rPr>
              <w:t>服务</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保持系统及站点的正常运行</w:t>
            </w:r>
            <w:r>
              <w:rPr>
                <w:rFonts w:hint="eastAsia" w:ascii="宋体" w:hAnsi="宋体" w:eastAsia="宋体"/>
                <w:color w:val="auto"/>
                <w:szCs w:val="21"/>
                <w:highlight w:val="none"/>
              </w:rPr>
              <w:t>。详见下表：</w:t>
            </w:r>
          </w:p>
          <w:tbl>
            <w:tblPr>
              <w:tblStyle w:val="10"/>
              <w:tblW w:w="8992" w:type="dxa"/>
              <w:tblInd w:w="98" w:type="dxa"/>
              <w:tblLayout w:type="fixed"/>
              <w:tblCellMar>
                <w:top w:w="0" w:type="dxa"/>
                <w:left w:w="108" w:type="dxa"/>
                <w:bottom w:w="0" w:type="dxa"/>
                <w:right w:w="108" w:type="dxa"/>
              </w:tblCellMar>
            </w:tblPr>
            <w:tblGrid>
              <w:gridCol w:w="1078"/>
              <w:gridCol w:w="2454"/>
              <w:gridCol w:w="5460"/>
            </w:tblGrid>
            <w:tr>
              <w:tblPrEx>
                <w:tblCellMar>
                  <w:top w:w="0" w:type="dxa"/>
                  <w:left w:w="108" w:type="dxa"/>
                  <w:bottom w:w="0" w:type="dxa"/>
                  <w:right w:w="108" w:type="dxa"/>
                </w:tblCellMar>
              </w:tblPrEx>
              <w:trPr>
                <w:trHeight w:val="460" w:hRule="atLeast"/>
              </w:trPr>
              <w:tc>
                <w:tcPr>
                  <w:tcW w:w="1078" w:type="dxa"/>
                  <w:tcBorders>
                    <w:top w:val="single" w:color="000000" w:sz="4" w:space="0"/>
                    <w:left w:val="single" w:color="000000" w:sz="4" w:space="0"/>
                    <w:bottom w:val="single" w:color="000000" w:sz="4" w:space="0"/>
                    <w:right w:val="single" w:color="000000" w:sz="4" w:space="0"/>
                  </w:tcBorders>
                  <w:shd w:val="clear" w:color="auto" w:fill="D7D7D7"/>
                  <w:noWrap w:val="0"/>
                  <w:vAlign w:val="center"/>
                </w:tcPr>
                <w:p>
                  <w:pPr>
                    <w:snapToGrid w:val="0"/>
                    <w:jc w:val="center"/>
                    <w:rPr>
                      <w:rFonts w:hint="eastAsia" w:ascii="宋体" w:hAnsi="宋体" w:eastAsia="宋体"/>
                      <w:color w:val="auto"/>
                      <w:szCs w:val="21"/>
                      <w:highlight w:val="none"/>
                    </w:rPr>
                  </w:pPr>
                  <w:r>
                    <w:rPr>
                      <w:rFonts w:hint="eastAsia" w:ascii="宋体" w:hAnsi="宋体" w:eastAsia="宋体"/>
                      <w:color w:val="auto"/>
                      <w:szCs w:val="21"/>
                      <w:highlight w:val="none"/>
                    </w:rPr>
                    <w:t>序号</w:t>
                  </w:r>
                </w:p>
              </w:tc>
              <w:tc>
                <w:tcPr>
                  <w:tcW w:w="2454" w:type="dxa"/>
                  <w:tcBorders>
                    <w:top w:val="single" w:color="000000" w:sz="4" w:space="0"/>
                    <w:left w:val="single" w:color="000000" w:sz="4" w:space="0"/>
                    <w:bottom w:val="single" w:color="000000" w:sz="4" w:space="0"/>
                    <w:right w:val="single" w:color="000000" w:sz="4" w:space="0"/>
                  </w:tcBorders>
                  <w:shd w:val="clear" w:color="auto" w:fill="D7D7D7"/>
                  <w:noWrap w:val="0"/>
                  <w:vAlign w:val="center"/>
                </w:tcPr>
                <w:p>
                  <w:pPr>
                    <w:snapToGrid w:val="0"/>
                    <w:jc w:val="center"/>
                    <w:rPr>
                      <w:rFonts w:hint="eastAsia" w:ascii="宋体" w:hAnsi="宋体" w:eastAsia="宋体"/>
                      <w:color w:val="auto"/>
                      <w:szCs w:val="21"/>
                      <w:highlight w:val="none"/>
                    </w:rPr>
                  </w:pPr>
                  <w:r>
                    <w:rPr>
                      <w:rFonts w:hint="eastAsia" w:ascii="宋体" w:hAnsi="宋体" w:eastAsia="宋体"/>
                      <w:color w:val="auto"/>
                      <w:szCs w:val="21"/>
                      <w:highlight w:val="none"/>
                    </w:rPr>
                    <w:t>项目</w:t>
                  </w:r>
                </w:p>
              </w:tc>
              <w:tc>
                <w:tcPr>
                  <w:tcW w:w="5460" w:type="dxa"/>
                  <w:tcBorders>
                    <w:top w:val="single" w:color="000000" w:sz="4" w:space="0"/>
                    <w:left w:val="single" w:color="000000" w:sz="4" w:space="0"/>
                    <w:bottom w:val="single" w:color="000000" w:sz="4" w:space="0"/>
                    <w:right w:val="single" w:color="000000" w:sz="4" w:space="0"/>
                  </w:tcBorders>
                  <w:shd w:val="clear" w:color="auto" w:fill="D7D7D7"/>
                  <w:noWrap w:val="0"/>
                  <w:vAlign w:val="center"/>
                </w:tcPr>
                <w:p>
                  <w:pPr>
                    <w:snapToGrid w:val="0"/>
                    <w:jc w:val="center"/>
                    <w:rPr>
                      <w:rFonts w:hint="eastAsia" w:ascii="宋体" w:hAnsi="宋体" w:eastAsia="宋体"/>
                      <w:color w:val="auto"/>
                      <w:szCs w:val="21"/>
                      <w:highlight w:val="none"/>
                    </w:rPr>
                  </w:pPr>
                  <w:r>
                    <w:rPr>
                      <w:rFonts w:hint="eastAsia" w:ascii="宋体" w:hAnsi="宋体" w:eastAsia="宋体"/>
                      <w:color w:val="auto"/>
                      <w:szCs w:val="21"/>
                      <w:highlight w:val="none"/>
                    </w:rPr>
                    <w:t>服务明细</w:t>
                  </w:r>
                </w:p>
              </w:tc>
            </w:tr>
            <w:tr>
              <w:tblPrEx>
                <w:tblCellMar>
                  <w:top w:w="0" w:type="dxa"/>
                  <w:left w:w="108" w:type="dxa"/>
                  <w:bottom w:w="0" w:type="dxa"/>
                  <w:right w:w="108" w:type="dxa"/>
                </w:tblCellMar>
              </w:tblPrEx>
              <w:trPr>
                <w:trHeight w:val="460" w:hRule="atLeast"/>
              </w:trPr>
              <w:tc>
                <w:tcPr>
                  <w:tcW w:w="1078" w:type="dxa"/>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eastAsia="宋体"/>
                      <w:color w:val="auto"/>
                      <w:szCs w:val="21"/>
                      <w:highlight w:val="none"/>
                    </w:rPr>
                  </w:pPr>
                  <w:r>
                    <w:rPr>
                      <w:rFonts w:hint="eastAsia" w:ascii="宋体" w:hAnsi="宋体" w:eastAsia="宋体"/>
                      <w:color w:val="auto"/>
                      <w:szCs w:val="21"/>
                      <w:highlight w:val="none"/>
                    </w:rPr>
                    <w:t>1</w:t>
                  </w:r>
                </w:p>
              </w:tc>
              <w:tc>
                <w:tcPr>
                  <w:tcW w:w="2454" w:type="dxa"/>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系统巡检</w:t>
                  </w:r>
                </w:p>
              </w:tc>
              <w:tc>
                <w:tcPr>
                  <w:tcW w:w="5460" w:type="dxa"/>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系统常态化巡检排障</w:t>
                  </w:r>
                </w:p>
              </w:tc>
            </w:tr>
            <w:tr>
              <w:tblPrEx>
                <w:tblCellMar>
                  <w:top w:w="0" w:type="dxa"/>
                  <w:left w:w="108" w:type="dxa"/>
                  <w:bottom w:w="0" w:type="dxa"/>
                  <w:right w:w="108" w:type="dxa"/>
                </w:tblCellMar>
              </w:tblPrEx>
              <w:trPr>
                <w:trHeight w:val="460" w:hRule="atLeast"/>
              </w:trPr>
              <w:tc>
                <w:tcPr>
                  <w:tcW w:w="1078" w:type="dxa"/>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eastAsia="宋体"/>
                      <w:color w:val="auto"/>
                      <w:szCs w:val="21"/>
                      <w:highlight w:val="none"/>
                    </w:rPr>
                  </w:pPr>
                  <w:r>
                    <w:rPr>
                      <w:rFonts w:hint="eastAsia" w:ascii="宋体" w:hAnsi="宋体" w:eastAsia="宋体"/>
                      <w:color w:val="auto"/>
                      <w:szCs w:val="21"/>
                      <w:highlight w:val="none"/>
                    </w:rPr>
                    <w:t>2</w:t>
                  </w:r>
                </w:p>
              </w:tc>
              <w:tc>
                <w:tcPr>
                  <w:tcW w:w="245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napToGrid w:val="0"/>
                    <w:jc w:val="center"/>
                    <w:rPr>
                      <w:rFonts w:hint="default" w:ascii="宋体" w:hAnsi="宋体" w:eastAsia="宋体" w:cstheme="minorBidi"/>
                      <w:color w:val="auto"/>
                      <w:kern w:val="2"/>
                      <w:sz w:val="21"/>
                      <w:szCs w:val="21"/>
                      <w:highlight w:val="none"/>
                      <w:lang w:val="en-US" w:eastAsia="zh-CN" w:bidi="ar-SA"/>
                    </w:rPr>
                  </w:pPr>
                  <w:r>
                    <w:rPr>
                      <w:rFonts w:hint="eastAsia" w:ascii="宋体" w:hAnsi="宋体" w:eastAsia="宋体"/>
                      <w:color w:val="auto"/>
                      <w:szCs w:val="21"/>
                      <w:highlight w:val="none"/>
                      <w:lang w:val="en-US" w:eastAsia="zh-CN"/>
                    </w:rPr>
                    <w:t>系统维护</w:t>
                  </w:r>
                </w:p>
              </w:tc>
              <w:tc>
                <w:tcPr>
                  <w:tcW w:w="54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napToGrid w:val="0"/>
                    <w:jc w:val="center"/>
                    <w:rPr>
                      <w:rFonts w:hint="default" w:ascii="宋体" w:hAnsi="宋体" w:eastAsia="宋体" w:cstheme="minorBidi"/>
                      <w:color w:val="auto"/>
                      <w:kern w:val="2"/>
                      <w:sz w:val="21"/>
                      <w:szCs w:val="21"/>
                      <w:highlight w:val="none"/>
                      <w:lang w:val="en-US" w:eastAsia="zh-CN" w:bidi="ar-SA"/>
                    </w:rPr>
                  </w:pPr>
                  <w:r>
                    <w:rPr>
                      <w:rFonts w:hint="eastAsia" w:ascii="宋体" w:hAnsi="宋体" w:eastAsia="宋体"/>
                      <w:color w:val="auto"/>
                      <w:szCs w:val="21"/>
                      <w:highlight w:val="none"/>
                      <w:lang w:val="en-US" w:eastAsia="zh-CN"/>
                    </w:rPr>
                    <w:t>不停车检测系统功能维护，提供技术支持</w:t>
                  </w:r>
                </w:p>
              </w:tc>
            </w:tr>
            <w:tr>
              <w:tblPrEx>
                <w:tblCellMar>
                  <w:top w:w="0" w:type="dxa"/>
                  <w:left w:w="108" w:type="dxa"/>
                  <w:bottom w:w="0" w:type="dxa"/>
                  <w:right w:w="108" w:type="dxa"/>
                </w:tblCellMar>
              </w:tblPrEx>
              <w:trPr>
                <w:trHeight w:val="539" w:hRule="atLeast"/>
              </w:trPr>
              <w:tc>
                <w:tcPr>
                  <w:tcW w:w="1078" w:type="dxa"/>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eastAsia="宋体"/>
                      <w:color w:val="auto"/>
                      <w:szCs w:val="21"/>
                      <w:highlight w:val="none"/>
                    </w:rPr>
                  </w:pPr>
                  <w:r>
                    <w:rPr>
                      <w:rFonts w:hint="eastAsia" w:ascii="宋体" w:hAnsi="宋体" w:eastAsia="宋体"/>
                      <w:color w:val="auto"/>
                      <w:szCs w:val="21"/>
                      <w:highlight w:val="none"/>
                    </w:rPr>
                    <w:t>3</w:t>
                  </w:r>
                </w:p>
              </w:tc>
              <w:tc>
                <w:tcPr>
                  <w:tcW w:w="245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napToGrid w:val="0"/>
                    <w:jc w:val="center"/>
                    <w:rPr>
                      <w:rFonts w:hint="default" w:ascii="宋体" w:hAnsi="宋体" w:eastAsia="宋体" w:cstheme="minorBidi"/>
                      <w:color w:val="auto"/>
                      <w:kern w:val="2"/>
                      <w:sz w:val="21"/>
                      <w:szCs w:val="21"/>
                      <w:highlight w:val="none"/>
                      <w:lang w:val="en-US" w:eastAsia="zh-CN" w:bidi="ar-SA"/>
                    </w:rPr>
                  </w:pPr>
                  <w:r>
                    <w:rPr>
                      <w:rFonts w:hint="eastAsia" w:ascii="宋体" w:hAnsi="宋体" w:eastAsia="宋体"/>
                      <w:color w:val="auto"/>
                      <w:szCs w:val="21"/>
                      <w:highlight w:val="none"/>
                      <w:lang w:val="en-US" w:eastAsia="zh-CN"/>
                    </w:rPr>
                    <w:t>网络维护</w:t>
                  </w:r>
                </w:p>
              </w:tc>
              <w:tc>
                <w:tcPr>
                  <w:tcW w:w="54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napToGrid w:val="0"/>
                    <w:jc w:val="center"/>
                    <w:rPr>
                      <w:rFonts w:hint="default" w:ascii="宋体" w:hAnsi="宋体" w:eastAsia="宋体" w:cstheme="minorBidi"/>
                      <w:color w:val="auto"/>
                      <w:kern w:val="2"/>
                      <w:sz w:val="21"/>
                      <w:szCs w:val="21"/>
                      <w:highlight w:val="none"/>
                      <w:lang w:val="en-US" w:eastAsia="zh-CN" w:bidi="ar-SA"/>
                    </w:rPr>
                  </w:pPr>
                  <w:r>
                    <w:rPr>
                      <w:rFonts w:hint="eastAsia" w:ascii="宋体" w:hAnsi="宋体" w:eastAsia="宋体"/>
                      <w:color w:val="auto"/>
                      <w:szCs w:val="21"/>
                      <w:highlight w:val="none"/>
                      <w:lang w:val="en-US" w:eastAsia="zh-CN"/>
                    </w:rPr>
                    <w:t>6个站点及平台的网络线路维护</w:t>
                  </w:r>
                </w:p>
              </w:tc>
            </w:tr>
            <w:tr>
              <w:tblPrEx>
                <w:tblCellMar>
                  <w:top w:w="0" w:type="dxa"/>
                  <w:left w:w="108" w:type="dxa"/>
                  <w:bottom w:w="0" w:type="dxa"/>
                  <w:right w:w="108" w:type="dxa"/>
                </w:tblCellMar>
              </w:tblPrEx>
              <w:trPr>
                <w:trHeight w:val="460" w:hRule="atLeast"/>
              </w:trPr>
              <w:tc>
                <w:tcPr>
                  <w:tcW w:w="1078" w:type="dxa"/>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eastAsia="宋体"/>
                      <w:color w:val="auto"/>
                      <w:szCs w:val="21"/>
                      <w:highlight w:val="none"/>
                    </w:rPr>
                  </w:pPr>
                  <w:r>
                    <w:rPr>
                      <w:rFonts w:hint="eastAsia" w:ascii="宋体" w:hAnsi="宋体" w:eastAsia="宋体"/>
                      <w:color w:val="auto"/>
                      <w:szCs w:val="21"/>
                      <w:highlight w:val="none"/>
                    </w:rPr>
                    <w:t>4</w:t>
                  </w:r>
                </w:p>
              </w:tc>
              <w:tc>
                <w:tcPr>
                  <w:tcW w:w="245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napToGrid w:val="0"/>
                    <w:jc w:val="center"/>
                    <w:rPr>
                      <w:rFonts w:hint="default" w:ascii="宋体" w:hAnsi="宋体" w:eastAsia="宋体" w:cstheme="minorBidi"/>
                      <w:color w:val="auto"/>
                      <w:kern w:val="2"/>
                      <w:sz w:val="21"/>
                      <w:szCs w:val="21"/>
                      <w:highlight w:val="none"/>
                      <w:lang w:val="en-US" w:eastAsia="zh-CN" w:bidi="ar-SA"/>
                    </w:rPr>
                  </w:pPr>
                  <w:r>
                    <w:rPr>
                      <w:rFonts w:hint="eastAsia" w:ascii="宋体" w:hAnsi="宋体" w:eastAsia="宋体"/>
                      <w:color w:val="auto"/>
                      <w:szCs w:val="21"/>
                      <w:highlight w:val="none"/>
                      <w:lang w:val="en-US" w:eastAsia="zh-CN"/>
                    </w:rPr>
                    <w:t>数据存储服务</w:t>
                  </w:r>
                </w:p>
              </w:tc>
              <w:tc>
                <w:tcPr>
                  <w:tcW w:w="54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napToGrid w:val="0"/>
                    <w:jc w:val="center"/>
                    <w:rPr>
                      <w:rFonts w:hint="default" w:ascii="宋体" w:hAnsi="宋体" w:eastAsia="宋体" w:cstheme="minorBidi"/>
                      <w:color w:val="auto"/>
                      <w:kern w:val="2"/>
                      <w:sz w:val="21"/>
                      <w:szCs w:val="21"/>
                      <w:highlight w:val="none"/>
                      <w:lang w:val="en-US" w:eastAsia="zh-CN" w:bidi="ar-SA"/>
                    </w:rPr>
                  </w:pPr>
                  <w:r>
                    <w:rPr>
                      <w:rFonts w:hint="eastAsia" w:ascii="宋体" w:hAnsi="宋体" w:eastAsia="宋体"/>
                      <w:color w:val="auto"/>
                      <w:szCs w:val="21"/>
                      <w:highlight w:val="none"/>
                      <w:lang w:val="en-US" w:eastAsia="zh-CN"/>
                    </w:rPr>
                    <w:t>平台数据的云存储服务</w:t>
                  </w:r>
                </w:p>
              </w:tc>
            </w:tr>
            <w:tr>
              <w:tblPrEx>
                <w:tblCellMar>
                  <w:top w:w="0" w:type="dxa"/>
                  <w:left w:w="108" w:type="dxa"/>
                  <w:bottom w:w="0" w:type="dxa"/>
                  <w:right w:w="108" w:type="dxa"/>
                </w:tblCellMar>
              </w:tblPrEx>
              <w:trPr>
                <w:trHeight w:val="460" w:hRule="atLeast"/>
              </w:trPr>
              <w:tc>
                <w:tcPr>
                  <w:tcW w:w="1078" w:type="dxa"/>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eastAsia="宋体"/>
                      <w:color w:val="auto"/>
                      <w:szCs w:val="21"/>
                      <w:highlight w:val="none"/>
                    </w:rPr>
                  </w:pPr>
                  <w:r>
                    <w:rPr>
                      <w:rFonts w:hint="eastAsia" w:ascii="宋体" w:hAnsi="宋体" w:eastAsia="宋体"/>
                      <w:color w:val="auto"/>
                      <w:szCs w:val="21"/>
                      <w:highlight w:val="none"/>
                    </w:rPr>
                    <w:t>5</w:t>
                  </w:r>
                </w:p>
              </w:tc>
              <w:tc>
                <w:tcPr>
                  <w:tcW w:w="245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napToGrid w:val="0"/>
                    <w:jc w:val="center"/>
                    <w:rPr>
                      <w:rFonts w:hint="default" w:ascii="宋体" w:hAnsi="宋体" w:eastAsia="宋体" w:cstheme="minorBidi"/>
                      <w:color w:val="auto"/>
                      <w:kern w:val="2"/>
                      <w:sz w:val="21"/>
                      <w:szCs w:val="21"/>
                      <w:highlight w:val="none"/>
                      <w:lang w:val="en-US" w:eastAsia="zh-CN" w:bidi="ar-SA"/>
                    </w:rPr>
                  </w:pPr>
                  <w:r>
                    <w:rPr>
                      <w:rFonts w:hint="eastAsia" w:ascii="宋体" w:hAnsi="宋体" w:eastAsia="宋体"/>
                      <w:color w:val="auto"/>
                      <w:szCs w:val="21"/>
                      <w:highlight w:val="none"/>
                      <w:lang w:val="en-US" w:eastAsia="zh-CN"/>
                    </w:rPr>
                    <w:t>站点维护</w:t>
                  </w:r>
                </w:p>
              </w:tc>
              <w:tc>
                <w:tcPr>
                  <w:tcW w:w="54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napToGrid w:val="0"/>
                    <w:jc w:val="center"/>
                    <w:rPr>
                      <w:rFonts w:hint="default" w:ascii="宋体" w:hAnsi="宋体" w:eastAsia="宋体" w:cstheme="minorBidi"/>
                      <w:color w:val="auto"/>
                      <w:kern w:val="2"/>
                      <w:sz w:val="21"/>
                      <w:szCs w:val="21"/>
                      <w:highlight w:val="none"/>
                      <w:lang w:val="en-US" w:eastAsia="zh-CN" w:bidi="ar-SA"/>
                    </w:rPr>
                  </w:pPr>
                  <w:r>
                    <w:rPr>
                      <w:rFonts w:hint="eastAsia" w:ascii="宋体" w:hAnsi="宋体" w:eastAsia="宋体"/>
                      <w:color w:val="auto"/>
                      <w:szCs w:val="21"/>
                      <w:highlight w:val="none"/>
                      <w:lang w:val="en-US" w:eastAsia="zh-CN"/>
                    </w:rPr>
                    <w:t>6个站点的设备维护管理</w:t>
                  </w:r>
                </w:p>
              </w:tc>
            </w:tr>
            <w:tr>
              <w:tblPrEx>
                <w:tblCellMar>
                  <w:top w:w="0" w:type="dxa"/>
                  <w:left w:w="108" w:type="dxa"/>
                  <w:bottom w:w="0" w:type="dxa"/>
                  <w:right w:w="108" w:type="dxa"/>
                </w:tblCellMar>
              </w:tblPrEx>
              <w:trPr>
                <w:trHeight w:val="460" w:hRule="atLeast"/>
              </w:trPr>
              <w:tc>
                <w:tcPr>
                  <w:tcW w:w="1078" w:type="dxa"/>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6</w:t>
                  </w:r>
                </w:p>
              </w:tc>
              <w:tc>
                <w:tcPr>
                  <w:tcW w:w="245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napToGrid w:val="0"/>
                    <w:jc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olor w:val="auto"/>
                      <w:szCs w:val="21"/>
                      <w:highlight w:val="none"/>
                      <w:lang w:val="en-US" w:eastAsia="zh-CN"/>
                    </w:rPr>
                    <w:t>计量检定</w:t>
                  </w:r>
                </w:p>
              </w:tc>
              <w:tc>
                <w:tcPr>
                  <w:tcW w:w="54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napToGrid w:val="0"/>
                    <w:jc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olor w:val="auto"/>
                      <w:szCs w:val="21"/>
                      <w:highlight w:val="none"/>
                      <w:lang w:val="en-US" w:eastAsia="zh-CN"/>
                    </w:rPr>
                    <w:t>提供技术及人员支持</w:t>
                  </w:r>
                </w:p>
              </w:tc>
            </w:tr>
            <w:tr>
              <w:tblPrEx>
                <w:tblCellMar>
                  <w:top w:w="0" w:type="dxa"/>
                  <w:left w:w="108" w:type="dxa"/>
                  <w:bottom w:w="0" w:type="dxa"/>
                  <w:right w:w="108" w:type="dxa"/>
                </w:tblCellMar>
              </w:tblPrEx>
              <w:trPr>
                <w:trHeight w:val="460" w:hRule="atLeast"/>
              </w:trPr>
              <w:tc>
                <w:tcPr>
                  <w:tcW w:w="1078" w:type="dxa"/>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7</w:t>
                  </w:r>
                </w:p>
              </w:tc>
              <w:tc>
                <w:tcPr>
                  <w:tcW w:w="245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napToGrid w:val="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场地服务</w:t>
                  </w:r>
                </w:p>
              </w:tc>
              <w:tc>
                <w:tcPr>
                  <w:tcW w:w="54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napToGrid w:val="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提供配套场地及设施使用</w:t>
                  </w:r>
                </w:p>
              </w:tc>
            </w:tr>
          </w:tbl>
          <w:p>
            <w:pPr>
              <w:snapToGrid w:val="0"/>
              <w:jc w:val="left"/>
              <w:rPr>
                <w:rFonts w:hint="eastAsia" w:ascii="宋体" w:hAnsi="宋体" w:eastAsia="宋体"/>
                <w:color w:val="auto"/>
                <w:szCs w:val="21"/>
                <w:highlight w:val="none"/>
              </w:rPr>
            </w:pPr>
            <w:r>
              <w:rPr>
                <w:rFonts w:hint="eastAsia" w:ascii="宋体" w:hAnsi="宋体" w:eastAsia="宋体"/>
                <w:color w:val="auto"/>
                <w:szCs w:val="21"/>
                <w:highlight w:val="none"/>
              </w:rPr>
              <w:t>（</w:t>
            </w:r>
            <w:r>
              <w:rPr>
                <w:rFonts w:hint="eastAsia" w:ascii="宋体" w:hAnsi="宋体" w:eastAsia="宋体"/>
                <w:color w:val="auto"/>
                <w:szCs w:val="21"/>
                <w:highlight w:val="none"/>
                <w:lang w:eastAsia="zh-CN"/>
              </w:rPr>
              <w:t>五</w:t>
            </w:r>
            <w:r>
              <w:rPr>
                <w:rFonts w:hint="eastAsia" w:ascii="宋体" w:hAnsi="宋体" w:eastAsia="宋体"/>
                <w:color w:val="auto"/>
                <w:szCs w:val="21"/>
                <w:highlight w:val="none"/>
              </w:rPr>
              <w:t>）服务内容及要求</w:t>
            </w:r>
          </w:p>
          <w:p>
            <w:pPr>
              <w:snapToGrid w:val="0"/>
              <w:jc w:val="left"/>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t>维护治超不停车检测系统及6个不停车检测站点的正常运行</w:t>
            </w:r>
            <w:r>
              <w:rPr>
                <w:rFonts w:hint="eastAsia" w:ascii="宋体" w:hAnsi="宋体" w:eastAsia="宋体"/>
                <w:color w:val="auto"/>
                <w:szCs w:val="21"/>
                <w:highlight w:val="none"/>
              </w:rPr>
              <w:t>，按上述服务范围提供</w:t>
            </w:r>
            <w:r>
              <w:rPr>
                <w:rFonts w:hint="eastAsia" w:ascii="宋体" w:hAnsi="宋体" w:eastAsia="宋体"/>
                <w:color w:val="auto"/>
                <w:szCs w:val="21"/>
                <w:highlight w:val="none"/>
                <w:lang w:val="en-US" w:eastAsia="zh-CN"/>
              </w:rPr>
              <w:t>维护</w:t>
            </w:r>
            <w:r>
              <w:rPr>
                <w:rFonts w:hint="eastAsia" w:ascii="宋体" w:hAnsi="宋体" w:eastAsia="宋体"/>
                <w:color w:val="auto"/>
                <w:szCs w:val="21"/>
                <w:highlight w:val="none"/>
              </w:rPr>
              <w:t>服务，服务内容如下：</w:t>
            </w:r>
          </w:p>
          <w:p>
            <w:pPr>
              <w:snapToGrid w:val="0"/>
              <w:jc w:val="left"/>
              <w:rPr>
                <w:rFonts w:hint="default" w:ascii="宋体" w:hAnsi="宋体" w:eastAsia="宋体"/>
                <w:color w:val="auto"/>
                <w:szCs w:val="21"/>
                <w:highlight w:val="none"/>
                <w:lang w:val="en-US" w:eastAsia="zh-CN"/>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系统巡检</w:t>
            </w:r>
          </w:p>
          <w:p>
            <w:pPr>
              <w:snapToGrid w:val="0"/>
              <w:jc w:val="left"/>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开展系统常态化巡检工作，洛实常态化巡检机制，主动排查运行隐患，第一时间处置各类故障问题；同时对接、协调各相关部门，严格依照规范流程推进各项工作落地。</w:t>
            </w:r>
          </w:p>
          <w:p>
            <w:pPr>
              <w:snapToGrid w:val="0"/>
              <w:jc w:val="left"/>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2.系统维护</w:t>
            </w:r>
          </w:p>
          <w:p>
            <w:pPr>
              <w:snapToGrid w:val="0"/>
              <w:jc w:val="left"/>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t>维护系统</w:t>
            </w:r>
            <w:r>
              <w:rPr>
                <w:rFonts w:hint="eastAsia" w:ascii="宋体" w:hAnsi="宋体" w:eastAsia="宋体"/>
                <w:color w:val="auto"/>
                <w:szCs w:val="21"/>
                <w:highlight w:val="none"/>
              </w:rPr>
              <w:t>车辆检测、执法管理、指挥调度、运行监测、综合分析与辅助决策、移动执法APP、遮挡号牌识别等功能</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保障系统的正常使用</w:t>
            </w:r>
            <w:r>
              <w:rPr>
                <w:rFonts w:hint="eastAsia" w:ascii="宋体" w:hAnsi="宋体" w:eastAsia="宋体"/>
                <w:color w:val="auto"/>
                <w:szCs w:val="21"/>
                <w:highlight w:val="none"/>
              </w:rPr>
              <w:t>。</w:t>
            </w:r>
          </w:p>
          <w:p>
            <w:pPr>
              <w:snapToGrid w:val="0"/>
              <w:jc w:val="left"/>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3</w:t>
            </w: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网络维护</w:t>
            </w:r>
          </w:p>
          <w:p>
            <w:pPr>
              <w:snapToGrid w:val="0"/>
              <w:jc w:val="left"/>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t>服务内容包含青王路、花山大道、光谷三路、武黄大道、高新八路、南环线6</w:t>
            </w:r>
            <w:r>
              <w:rPr>
                <w:rFonts w:hint="eastAsia" w:ascii="宋体" w:hAnsi="宋体" w:eastAsia="宋体"/>
                <w:color w:val="auto"/>
                <w:szCs w:val="21"/>
                <w:highlight w:val="none"/>
              </w:rPr>
              <w:t>个</w:t>
            </w:r>
            <w:r>
              <w:rPr>
                <w:rFonts w:hint="eastAsia" w:ascii="宋体" w:hAnsi="宋体" w:eastAsia="宋体"/>
                <w:color w:val="auto"/>
                <w:szCs w:val="21"/>
                <w:highlight w:val="none"/>
                <w:lang w:val="en-US" w:eastAsia="zh-CN"/>
              </w:rPr>
              <w:t>不停车检测站点到机房以及区平台到市平台的网络专线服务，保障网络的正常使用</w:t>
            </w:r>
            <w:r>
              <w:rPr>
                <w:rFonts w:hint="eastAsia" w:ascii="宋体" w:hAnsi="宋体" w:eastAsia="宋体"/>
                <w:color w:val="auto"/>
                <w:szCs w:val="21"/>
                <w:highlight w:val="none"/>
              </w:rPr>
              <w:t>。</w:t>
            </w:r>
          </w:p>
          <w:p>
            <w:pPr>
              <w:snapToGrid w:val="0"/>
              <w:jc w:val="left"/>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4</w:t>
            </w: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数据存储服务</w:t>
            </w:r>
          </w:p>
          <w:p>
            <w:pPr>
              <w:snapToGrid w:val="0"/>
              <w:jc w:val="left"/>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提供云端数据存储服务，按需配置服务器与存储硬件资源，同时搭载全方位安全防护、密码管理等服务，全方位保障数据使用安全。</w:t>
            </w:r>
          </w:p>
          <w:p>
            <w:pPr>
              <w:snapToGrid w:val="0"/>
              <w:jc w:val="left"/>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5</w:t>
            </w: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站点维护</w:t>
            </w:r>
          </w:p>
          <w:p>
            <w:pPr>
              <w:snapToGrid w:val="0"/>
              <w:jc w:val="left"/>
              <w:rPr>
                <w:rFonts w:hint="eastAsia" w:ascii="宋体" w:hAnsi="宋体" w:eastAsia="宋体"/>
                <w:color w:val="auto"/>
                <w:szCs w:val="21"/>
                <w:highlight w:val="none"/>
              </w:rPr>
            </w:pPr>
            <w:r>
              <w:rPr>
                <w:rFonts w:hint="eastAsia" w:ascii="宋体" w:hAnsi="宋体" w:eastAsia="宋体"/>
                <w:color w:val="auto"/>
                <w:szCs w:val="21"/>
                <w:highlight w:val="none"/>
              </w:rPr>
              <w:t>包含</w:t>
            </w:r>
            <w:r>
              <w:rPr>
                <w:rFonts w:hint="eastAsia" w:ascii="宋体" w:hAnsi="宋体" w:eastAsia="宋体"/>
                <w:color w:val="auto"/>
                <w:szCs w:val="21"/>
                <w:highlight w:val="none"/>
                <w:lang w:val="en-US" w:eastAsia="zh-CN"/>
              </w:rPr>
              <w:t>青王路、花山大道、光谷三路、武黄大道、高新八路、南环线6</w:t>
            </w:r>
            <w:r>
              <w:rPr>
                <w:rFonts w:hint="eastAsia" w:ascii="宋体" w:hAnsi="宋体" w:eastAsia="宋体"/>
                <w:color w:val="auto"/>
                <w:szCs w:val="21"/>
                <w:highlight w:val="none"/>
              </w:rPr>
              <w:t>个站点的设备维护:称台、称重电子设备、线圈、数据处理单元、相机、信息发布屏、机柜内所有设备、称重软件、匹配及信息发布软件、数据上传软件及现场线路等设备的维护、巡查检测</w:t>
            </w:r>
            <w:r>
              <w:rPr>
                <w:rFonts w:hint="eastAsia" w:ascii="宋体" w:hAnsi="宋体" w:eastAsia="宋体"/>
                <w:color w:val="auto"/>
                <w:szCs w:val="21"/>
                <w:highlight w:val="none"/>
                <w:lang w:val="en-US" w:eastAsia="zh-CN"/>
              </w:rPr>
              <w:t>等，保障设备的正常运行，48小时内响应问题</w:t>
            </w:r>
            <w:r>
              <w:rPr>
                <w:rFonts w:hint="eastAsia" w:ascii="宋体" w:hAnsi="宋体" w:eastAsia="宋体"/>
                <w:color w:val="auto"/>
                <w:szCs w:val="21"/>
                <w:highlight w:val="none"/>
              </w:rPr>
              <w:t>。</w:t>
            </w:r>
          </w:p>
          <w:p>
            <w:pPr>
              <w:snapToGrid w:val="0"/>
              <w:jc w:val="left"/>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6、计量检定</w:t>
            </w:r>
          </w:p>
          <w:p>
            <w:pPr>
              <w:snapToGrid w:val="0"/>
              <w:jc w:val="left"/>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全力配合计量检定工作开展，全程提供技术支持、现场支撑与问题处置服务，确保检定结果精准，流程合规。</w:t>
            </w:r>
          </w:p>
          <w:p>
            <w:pPr>
              <w:numPr>
                <w:ilvl w:val="0"/>
                <w:numId w:val="1"/>
              </w:numPr>
              <w:snapToGrid w:val="0"/>
              <w:jc w:val="left"/>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场地服务</w:t>
            </w:r>
          </w:p>
          <w:p>
            <w:pPr>
              <w:snapToGrid w:val="0"/>
              <w:jc w:val="left"/>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在系统维护周期服务内，按需提供合规场地及配套设施资源，满足来访接待、业务讲解、外部参观、现场展示等各类活动，保障各类活动有序开展。</w:t>
            </w:r>
          </w:p>
          <w:p>
            <w:pPr>
              <w:snapToGrid w:val="0"/>
              <w:jc w:val="left"/>
              <w:rPr>
                <w:rFonts w:hint="eastAsia" w:ascii="宋体" w:hAnsi="宋体" w:eastAsia="宋体"/>
                <w:color w:val="auto"/>
                <w:szCs w:val="21"/>
                <w:highlight w:val="none"/>
              </w:rPr>
            </w:pPr>
            <w:r>
              <w:rPr>
                <w:rFonts w:hint="eastAsia" w:ascii="宋体" w:hAnsi="宋体" w:eastAsia="宋体"/>
                <w:color w:val="auto"/>
                <w:szCs w:val="21"/>
                <w:highlight w:val="none"/>
              </w:rPr>
              <w:t>四、项目服务人员、设备设施要求</w:t>
            </w:r>
            <w:bookmarkEnd w:id="2"/>
            <w:bookmarkEnd w:id="3"/>
            <w:bookmarkEnd w:id="4"/>
            <w:bookmarkEnd w:id="5"/>
          </w:p>
          <w:bookmarkEnd w:id="6"/>
          <w:p>
            <w:pPr>
              <w:snapToGrid w:val="0"/>
              <w:jc w:val="left"/>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一）人员要求：供应商根据采购人工作需求选派工作人员开展工作，工作人员需具有工程类中级及以上专业技术职称和全国注册安全工程师执业证书，熟练掌握安全生产相关法律法规和标准规范，供应商能提供完善的人员框架图及配备方案，人员职责明确。</w:t>
            </w:r>
          </w:p>
          <w:p>
            <w:pPr>
              <w:snapToGrid w:val="0"/>
              <w:jc w:val="left"/>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（二）设施、设备要求：配备满足安全技术服务工作需要的仪器、设备、交通工具及安全防护用品。 </w:t>
            </w:r>
          </w:p>
          <w:p>
            <w:pPr>
              <w:snapToGrid w:val="0"/>
              <w:jc w:val="left"/>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六、其他要求</w:t>
            </w:r>
          </w:p>
          <w:p>
            <w:pPr>
              <w:snapToGrid w:val="0"/>
              <w:jc w:val="left"/>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一）成交供应商需要提供符合岗位工作要求的管理制度、员工管理服务规范要求及确保服务质量达标的具体措施，成交供应商需建立完善工作响应机制和响应时限，对特殊事件和紧急、突发事故应有应急措施和应急预案。</w:t>
            </w:r>
          </w:p>
          <w:p>
            <w:pPr>
              <w:snapToGrid w:val="0"/>
              <w:jc w:val="left"/>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二）成交供应商不得随意更换服务人员，若需更换，更换前必须先征得采购人的同意，经试用符合要求方可更换。采购人有权要求成交供应商更换不能胜任或不符合要求的服务人员；成交供应商应保证岗位人员的稳定，如有特殊原因人员需要变动的，需提前一周向采购人汇报并说明原因，提供相应的应急措施。采购人提出用人需求或退回服务人员后，成交供应商应在10个工作日内将人员补充到位。</w:t>
            </w:r>
          </w:p>
          <w:p>
            <w:pPr>
              <w:snapToGrid w:val="0"/>
              <w:jc w:val="left"/>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三）成交供应商工作人员在进行“安全技术服务”工作时，应遵守采购人有关工作要求成交供应商及工作人员应当按照法律、法规和规范标准开展工作，并承担技术服务责任；由于成交供应商自身原因造成的安全责任，由成交供应商自行承担。成交供应商工作人员在往返途中的人身安全，由成交供应商负责。</w:t>
            </w:r>
          </w:p>
          <w:p>
            <w:pPr>
              <w:snapToGrid w:val="0"/>
              <w:jc w:val="left"/>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（四）培训要求：积极提高专业技术力量和服务水平，加强对执业人员的工作责任管理和思想教育，保证安全生产技术服务工作的质量和服务水平。</w:t>
            </w:r>
          </w:p>
          <w:p>
            <w:pPr>
              <w:snapToGrid w:val="0"/>
              <w:jc w:val="left"/>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（五）保密要求：</w:t>
            </w:r>
          </w:p>
          <w:p>
            <w:pPr>
              <w:snapToGrid w:val="0"/>
              <w:jc w:val="left"/>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1、成交供应商未经采购人许可，不得向第三方透露与采购人之间的协议内容；</w:t>
            </w:r>
          </w:p>
          <w:p>
            <w:pPr>
              <w:snapToGrid w:val="0"/>
              <w:jc w:val="left"/>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2、成交供应商应对工作中知悉的商业秘密保密。本义务在服务期结束后，仍然有效；</w:t>
            </w:r>
          </w:p>
          <w:p>
            <w:pPr>
              <w:snapToGrid w:val="0"/>
              <w:jc w:val="left"/>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3、成交供应商若违反相关规定按我国相关法律承担泄密造成的经济赔偿责任。</w:t>
            </w:r>
          </w:p>
          <w:p>
            <w:pPr>
              <w:snapToGrid w:val="0"/>
              <w:jc w:val="left"/>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（六）磋商文件描述未尽内容，由双方在签订合同时补充完善。</w:t>
            </w:r>
          </w:p>
          <w:p>
            <w:pPr>
              <w:snapToGrid w:val="0"/>
              <w:jc w:val="left"/>
              <w:rPr>
                <w:rFonts w:ascii="宋体" w:hAnsi="宋体" w:eastAsia="宋体"/>
                <w:color w:val="auto"/>
                <w:szCs w:val="21"/>
                <w:highlight w:val="none"/>
              </w:rPr>
            </w:pPr>
            <w:r>
              <w:rPr>
                <w:rFonts w:hint="eastAsia" w:ascii="宋体" w:hAnsi="宋体" w:eastAsia="宋体"/>
                <w:color w:val="auto"/>
                <w:szCs w:val="21"/>
                <w:highlight w:val="none"/>
                <w:lang w:eastAsia="zh-CN"/>
              </w:rPr>
              <w:t>五</w:t>
            </w:r>
            <w:r>
              <w:rPr>
                <w:rFonts w:hint="eastAsia" w:ascii="宋体" w:hAnsi="宋体" w:eastAsia="宋体"/>
                <w:color w:val="auto"/>
                <w:szCs w:val="21"/>
                <w:highlight w:val="none"/>
              </w:rPr>
              <w:t>、付款方式</w:t>
            </w:r>
          </w:p>
          <w:p>
            <w:pPr>
              <w:snapToGrid w:val="0"/>
              <w:jc w:val="left"/>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合同签订后，采购人收到成交供应商正规发票后支付</w:t>
            </w:r>
            <w:r>
              <w:rPr>
                <w:rFonts w:hint="eastAsia" w:ascii="宋体" w:hAnsi="宋体" w:eastAsia="宋体"/>
                <w:color w:val="auto"/>
                <w:szCs w:val="21"/>
                <w:highlight w:val="none"/>
                <w:lang w:val="en-US" w:eastAsia="zh-CN"/>
              </w:rPr>
              <w:t>5</w:t>
            </w:r>
            <w:r>
              <w:rPr>
                <w:rFonts w:hint="eastAsia" w:ascii="宋体" w:hAnsi="宋体" w:eastAsia="宋体"/>
                <w:color w:val="auto"/>
                <w:szCs w:val="21"/>
                <w:highlight w:val="none"/>
                <w:lang w:eastAsia="zh-CN"/>
              </w:rPr>
              <w:t>0%首付款；开展服务工作</w:t>
            </w:r>
            <w:r>
              <w:rPr>
                <w:rFonts w:hint="eastAsia" w:ascii="宋体" w:hAnsi="宋体" w:eastAsia="宋体"/>
                <w:color w:val="auto"/>
                <w:szCs w:val="21"/>
                <w:highlight w:val="none"/>
                <w:lang w:val="en-US" w:eastAsia="zh-CN"/>
              </w:rPr>
              <w:t>满一年</w:t>
            </w:r>
            <w:r>
              <w:rPr>
                <w:rFonts w:hint="eastAsia" w:ascii="宋体" w:hAnsi="宋体" w:eastAsia="宋体"/>
                <w:color w:val="auto"/>
                <w:szCs w:val="21"/>
                <w:highlight w:val="none"/>
                <w:lang w:eastAsia="zh-CN"/>
              </w:rPr>
              <w:t>，经采购人考核合格支付至合同总价的100%。具体内容在合同中约定。</w:t>
            </w:r>
          </w:p>
          <w:p>
            <w:pPr>
              <w:snapToGrid w:val="0"/>
              <w:jc w:val="left"/>
              <w:rPr>
                <w:rFonts w:ascii="宋体" w:hAnsi="宋体" w:eastAsia="宋体"/>
                <w:color w:val="auto"/>
                <w:szCs w:val="21"/>
                <w:highlight w:val="none"/>
              </w:rPr>
            </w:pPr>
            <w:r>
              <w:rPr>
                <w:rFonts w:hint="eastAsia" w:ascii="宋体" w:hAnsi="宋体" w:eastAsia="宋体"/>
                <w:color w:val="auto"/>
                <w:szCs w:val="21"/>
                <w:highlight w:val="none"/>
                <w:lang w:eastAsia="zh-CN"/>
              </w:rPr>
              <w:t>六</w:t>
            </w:r>
            <w:r>
              <w:rPr>
                <w:rFonts w:hint="eastAsia" w:ascii="宋体" w:hAnsi="宋体" w:eastAsia="宋体"/>
                <w:color w:val="auto"/>
                <w:szCs w:val="21"/>
                <w:highlight w:val="none"/>
              </w:rPr>
              <w:t>、供应商资格条件要求</w:t>
            </w:r>
          </w:p>
          <w:p>
            <w:pPr>
              <w:snapToGrid w:val="0"/>
              <w:jc w:val="left"/>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1、满足《中华人民共和国政府采购法》第二十二条规定，即：</w:t>
            </w:r>
          </w:p>
          <w:p>
            <w:pPr>
              <w:snapToGrid w:val="0"/>
              <w:jc w:val="left"/>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（1）具有独立承担民事责任的能力；</w:t>
            </w:r>
          </w:p>
          <w:p>
            <w:pPr>
              <w:snapToGrid w:val="0"/>
              <w:jc w:val="left"/>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（2）具有良好的商业信誉和健全的财务会计制度；</w:t>
            </w:r>
          </w:p>
          <w:p>
            <w:pPr>
              <w:snapToGrid w:val="0"/>
              <w:jc w:val="left"/>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（3）具有履行合同所必需的设备和专业技术能力；</w:t>
            </w:r>
          </w:p>
          <w:p>
            <w:pPr>
              <w:snapToGrid w:val="0"/>
              <w:jc w:val="left"/>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（4）有依法缴纳税收和社会保障资金的良好记录；</w:t>
            </w:r>
          </w:p>
          <w:p>
            <w:pPr>
              <w:snapToGrid w:val="0"/>
              <w:jc w:val="left"/>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（5）参加政府采购活动前三年内，在经营活动中没有重大违法记录；</w:t>
            </w:r>
          </w:p>
          <w:p>
            <w:pPr>
              <w:snapToGrid w:val="0"/>
              <w:jc w:val="left"/>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（6）法律、行政法规规定的其他条件。</w:t>
            </w:r>
          </w:p>
          <w:p>
            <w:pPr>
              <w:snapToGrid w:val="0"/>
              <w:jc w:val="left"/>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2、单位负责人为同一人或者存在直接控股、管理关系的不同供应商，不得参加本项目同一合同项下的政府采购活动。</w:t>
            </w:r>
          </w:p>
          <w:p>
            <w:pPr>
              <w:snapToGrid w:val="0"/>
              <w:jc w:val="left"/>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3、为本采购项目提供整体设计、规范编制或者项目管理、监理、检测等服务的，不得再参加本项目的其他招标采购活动。</w:t>
            </w:r>
          </w:p>
          <w:p>
            <w:pPr>
              <w:snapToGrid w:val="0"/>
              <w:jc w:val="left"/>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4、未被列入失信被执行人、重大税收违法失信主体，未被列入政府采购严重违法失信行为记录名单。</w:t>
            </w:r>
          </w:p>
          <w:p>
            <w:pPr>
              <w:snapToGrid w:val="0"/>
              <w:jc w:val="left"/>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5、落实政府采购政策需满足的资格要求：本项目属于专门面向中小企业预留份额的采购项目，供应商应为中小微企业（或监狱企业，或残疾人福利性单位）。</w:t>
            </w:r>
          </w:p>
          <w:p>
            <w:pPr>
              <w:snapToGrid w:val="0"/>
              <w:jc w:val="left"/>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6、本项目的特定资格要求：/</w:t>
            </w:r>
          </w:p>
          <w:p>
            <w:pPr>
              <w:snapToGrid w:val="0"/>
              <w:jc w:val="left"/>
              <w:rPr>
                <w:rFonts w:hint="eastAsia" w:ascii="宋体" w:hAnsi="宋体" w:eastAsia="宋体"/>
                <w:color w:val="auto"/>
                <w:szCs w:val="21"/>
                <w:highlight w:val="none"/>
              </w:rPr>
            </w:pPr>
            <w:r>
              <w:rPr>
                <w:rFonts w:hint="eastAsia" w:ascii="宋体" w:hAnsi="宋体" w:eastAsia="宋体"/>
                <w:color w:val="auto"/>
                <w:szCs w:val="21"/>
                <w:highlight w:val="none"/>
                <w:lang w:eastAsia="zh-CN"/>
              </w:rPr>
              <w:t>七</w:t>
            </w:r>
            <w:r>
              <w:rPr>
                <w:rFonts w:hint="eastAsia" w:ascii="宋体" w:hAnsi="宋体" w:eastAsia="宋体"/>
                <w:color w:val="auto"/>
                <w:szCs w:val="21"/>
                <w:highlight w:val="none"/>
              </w:rPr>
              <w:t>、建议打分标准</w:t>
            </w:r>
          </w:p>
          <w:tbl>
            <w:tblPr>
              <w:tblStyle w:val="10"/>
              <w:tblpPr w:leftFromText="180" w:rightFromText="180" w:vertAnchor="text" w:horzAnchor="page" w:tblpXSpec="center" w:tblpY="258"/>
              <w:tblOverlap w:val="never"/>
              <w:tblW w:w="8418" w:type="dxa"/>
              <w:jc w:val="center"/>
              <w:tblLayout w:type="fixed"/>
              <w:tblCellMar>
                <w:top w:w="0" w:type="dxa"/>
                <w:left w:w="108" w:type="dxa"/>
                <w:bottom w:w="0" w:type="dxa"/>
                <w:right w:w="108" w:type="dxa"/>
              </w:tblCellMar>
            </w:tblPr>
            <w:tblGrid>
              <w:gridCol w:w="980"/>
              <w:gridCol w:w="1154"/>
              <w:gridCol w:w="5558"/>
              <w:gridCol w:w="726"/>
            </w:tblGrid>
            <w:tr>
              <w:tblPrEx>
                <w:tblCellMar>
                  <w:top w:w="0" w:type="dxa"/>
                  <w:left w:w="108" w:type="dxa"/>
                  <w:bottom w:w="0" w:type="dxa"/>
                  <w:right w:w="108" w:type="dxa"/>
                </w:tblCellMar>
              </w:tblPrEx>
              <w:trPr>
                <w:trHeight w:val="504" w:hRule="atLeast"/>
                <w:jc w:val="center"/>
              </w:trPr>
              <w:tc>
                <w:tcPr>
                  <w:tcW w:w="98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宋体" w:hAnsi="宋体" w:eastAsia="宋体"/>
                      <w:color w:val="auto"/>
                      <w:szCs w:val="21"/>
                      <w:highlight w:val="none"/>
                    </w:rPr>
                  </w:pPr>
                  <w:r>
                    <w:rPr>
                      <w:rFonts w:hint="eastAsia" w:ascii="宋体" w:hAnsi="宋体" w:eastAsia="宋体"/>
                      <w:color w:val="auto"/>
                      <w:szCs w:val="21"/>
                      <w:highlight w:val="none"/>
                    </w:rPr>
                    <w:t>评标项目</w:t>
                  </w:r>
                </w:p>
              </w:tc>
              <w:tc>
                <w:tcPr>
                  <w:tcW w:w="1154" w:type="dxa"/>
                  <w:tcBorders>
                    <w:top w:val="single" w:color="auto" w:sz="4" w:space="0"/>
                    <w:left w:val="nil"/>
                    <w:bottom w:val="single" w:color="auto" w:sz="4" w:space="0"/>
                    <w:right w:val="single" w:color="auto" w:sz="4" w:space="0"/>
                  </w:tcBorders>
                  <w:noWrap w:val="0"/>
                  <w:vAlign w:val="center"/>
                </w:tcPr>
                <w:p>
                  <w:pPr>
                    <w:snapToGrid w:val="0"/>
                    <w:jc w:val="center"/>
                    <w:rPr>
                      <w:rFonts w:hint="eastAsia" w:ascii="宋体" w:hAnsi="宋体" w:eastAsia="宋体"/>
                      <w:color w:val="auto"/>
                      <w:szCs w:val="21"/>
                      <w:highlight w:val="none"/>
                    </w:rPr>
                  </w:pPr>
                  <w:r>
                    <w:rPr>
                      <w:rFonts w:hint="eastAsia" w:ascii="宋体" w:hAnsi="宋体" w:eastAsia="宋体"/>
                      <w:color w:val="auto"/>
                      <w:szCs w:val="21"/>
                      <w:highlight w:val="none"/>
                    </w:rPr>
                    <w:t>评标分项</w:t>
                  </w:r>
                </w:p>
              </w:tc>
              <w:tc>
                <w:tcPr>
                  <w:tcW w:w="5558" w:type="dxa"/>
                  <w:tcBorders>
                    <w:top w:val="single" w:color="auto" w:sz="4" w:space="0"/>
                    <w:left w:val="nil"/>
                    <w:bottom w:val="single" w:color="auto" w:sz="4" w:space="0"/>
                    <w:right w:val="single" w:color="auto" w:sz="4" w:space="0"/>
                  </w:tcBorders>
                  <w:noWrap w:val="0"/>
                  <w:vAlign w:val="center"/>
                </w:tcPr>
                <w:p>
                  <w:pPr>
                    <w:snapToGrid w:val="0"/>
                    <w:jc w:val="center"/>
                    <w:rPr>
                      <w:rFonts w:hint="eastAsia" w:ascii="宋体" w:hAnsi="宋体" w:eastAsia="宋体"/>
                      <w:color w:val="auto"/>
                      <w:szCs w:val="21"/>
                      <w:highlight w:val="none"/>
                    </w:rPr>
                  </w:pPr>
                  <w:r>
                    <w:rPr>
                      <w:rFonts w:hint="eastAsia" w:ascii="宋体" w:hAnsi="宋体" w:eastAsia="宋体"/>
                      <w:color w:val="auto"/>
                      <w:szCs w:val="21"/>
                      <w:highlight w:val="none"/>
                    </w:rPr>
                    <w:t>评标分项及分值</w:t>
                  </w:r>
                </w:p>
              </w:tc>
              <w:tc>
                <w:tcPr>
                  <w:tcW w:w="726" w:type="dxa"/>
                  <w:tcBorders>
                    <w:top w:val="single" w:color="auto" w:sz="4" w:space="0"/>
                    <w:left w:val="nil"/>
                    <w:bottom w:val="single" w:color="auto" w:sz="4" w:space="0"/>
                    <w:right w:val="single" w:color="auto" w:sz="4" w:space="0"/>
                  </w:tcBorders>
                  <w:noWrap w:val="0"/>
                  <w:vAlign w:val="center"/>
                </w:tcPr>
                <w:p>
                  <w:pPr>
                    <w:snapToGrid w:val="0"/>
                    <w:jc w:val="center"/>
                    <w:rPr>
                      <w:rFonts w:hint="eastAsia" w:ascii="宋体" w:hAnsi="宋体" w:eastAsia="宋体"/>
                      <w:color w:val="auto"/>
                      <w:szCs w:val="21"/>
                      <w:highlight w:val="none"/>
                    </w:rPr>
                  </w:pPr>
                  <w:r>
                    <w:rPr>
                      <w:rFonts w:hint="eastAsia" w:ascii="宋体" w:hAnsi="宋体" w:eastAsia="宋体"/>
                      <w:color w:val="auto"/>
                      <w:szCs w:val="21"/>
                      <w:highlight w:val="none"/>
                    </w:rPr>
                    <w:t>分值</w:t>
                  </w:r>
                </w:p>
              </w:tc>
            </w:tr>
            <w:tr>
              <w:tblPrEx>
                <w:tblCellMar>
                  <w:top w:w="0" w:type="dxa"/>
                  <w:left w:w="108" w:type="dxa"/>
                  <w:bottom w:w="0" w:type="dxa"/>
                  <w:right w:w="108" w:type="dxa"/>
                </w:tblCellMar>
              </w:tblPrEx>
              <w:trPr>
                <w:trHeight w:val="90" w:hRule="atLeast"/>
                <w:jc w:val="center"/>
              </w:trPr>
              <w:tc>
                <w:tcPr>
                  <w:tcW w:w="980" w:type="dxa"/>
                  <w:vMerge w:val="restart"/>
                  <w:tcBorders>
                    <w:left w:val="single" w:color="auto" w:sz="4" w:space="0"/>
                    <w:right w:val="single" w:color="auto" w:sz="4" w:space="0"/>
                  </w:tcBorders>
                  <w:noWrap w:val="0"/>
                  <w:vAlign w:val="center"/>
                </w:tcPr>
                <w:p>
                  <w:pPr>
                    <w:snapToGrid w:val="0"/>
                    <w:jc w:val="center"/>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商务部分（</w:t>
                  </w:r>
                  <w:r>
                    <w:rPr>
                      <w:rFonts w:hint="eastAsia" w:ascii="宋体" w:hAnsi="宋体" w:eastAsia="宋体"/>
                      <w:color w:val="auto"/>
                      <w:szCs w:val="21"/>
                      <w:highlight w:val="none"/>
                      <w:lang w:val="en-US" w:eastAsia="zh-CN"/>
                    </w:rPr>
                    <w:t>15分</w:t>
                  </w:r>
                  <w:r>
                    <w:rPr>
                      <w:rFonts w:hint="eastAsia" w:ascii="宋体" w:hAnsi="宋体" w:eastAsia="宋体"/>
                      <w:color w:val="auto"/>
                      <w:szCs w:val="21"/>
                      <w:highlight w:val="none"/>
                      <w:lang w:eastAsia="zh-CN"/>
                    </w:rPr>
                    <w:t>）</w:t>
                  </w:r>
                </w:p>
              </w:tc>
              <w:tc>
                <w:tcPr>
                  <w:tcW w:w="1154" w:type="dxa"/>
                  <w:vMerge w:val="restart"/>
                  <w:tcBorders>
                    <w:top w:val="single" w:color="auto" w:sz="4" w:space="0"/>
                    <w:left w:val="nil"/>
                    <w:right w:val="single" w:color="auto" w:sz="4" w:space="0"/>
                  </w:tcBorders>
                  <w:noWrap w:val="0"/>
                  <w:vAlign w:val="center"/>
                </w:tcPr>
                <w:p>
                  <w:pPr>
                    <w:snapToGrid w:val="0"/>
                    <w:jc w:val="center"/>
                    <w:rPr>
                      <w:rFonts w:hint="eastAsia" w:ascii="宋体" w:hAnsi="宋体" w:eastAsia="宋体"/>
                      <w:color w:val="auto"/>
                      <w:szCs w:val="21"/>
                      <w:highlight w:val="none"/>
                    </w:rPr>
                  </w:pPr>
                  <w:r>
                    <w:rPr>
                      <w:rFonts w:hint="eastAsia" w:ascii="宋体" w:hAnsi="宋体" w:eastAsia="宋体"/>
                      <w:color w:val="auto"/>
                      <w:szCs w:val="21"/>
                      <w:highlight w:val="none"/>
                    </w:rPr>
                    <w:t>业绩</w:t>
                  </w:r>
                </w:p>
              </w:tc>
              <w:tc>
                <w:tcPr>
                  <w:tcW w:w="5558" w:type="dxa"/>
                  <w:tcBorders>
                    <w:top w:val="single" w:color="auto" w:sz="4" w:space="0"/>
                    <w:left w:val="nil"/>
                    <w:bottom w:val="single" w:color="auto" w:sz="4" w:space="0"/>
                    <w:right w:val="single" w:color="auto" w:sz="4" w:space="0"/>
                  </w:tcBorders>
                  <w:noWrap w:val="0"/>
                  <w:vAlign w:val="center"/>
                </w:tcPr>
                <w:p>
                  <w:pPr>
                    <w:snapToGrid w:val="0"/>
                    <w:jc w:val="left"/>
                    <w:rPr>
                      <w:rFonts w:hint="eastAsia" w:ascii="宋体" w:hAnsi="宋体" w:eastAsia="宋体"/>
                      <w:color w:val="auto"/>
                      <w:szCs w:val="21"/>
                      <w:highlight w:val="none"/>
                    </w:rPr>
                  </w:pPr>
                  <w:r>
                    <w:rPr>
                      <w:rFonts w:hint="eastAsia" w:ascii="宋体" w:hAnsi="宋体" w:eastAsia="宋体"/>
                      <w:color w:val="auto"/>
                      <w:szCs w:val="21"/>
                      <w:highlight w:val="none"/>
                    </w:rPr>
                    <w:t>供应商（以合同签订时间为准）承担过类似服务项目业绩，每项得2分，满分1</w:t>
                  </w:r>
                  <w:r>
                    <w:rPr>
                      <w:rFonts w:hint="eastAsia" w:ascii="宋体" w:hAnsi="宋体" w:eastAsia="宋体"/>
                      <w:color w:val="auto"/>
                      <w:szCs w:val="21"/>
                      <w:highlight w:val="none"/>
                      <w:lang w:val="en-US" w:eastAsia="zh-CN"/>
                    </w:rPr>
                    <w:t>0</w:t>
                  </w:r>
                  <w:r>
                    <w:rPr>
                      <w:rFonts w:hint="eastAsia" w:ascii="宋体" w:hAnsi="宋体" w:eastAsia="宋体"/>
                      <w:color w:val="auto"/>
                      <w:szCs w:val="21"/>
                      <w:highlight w:val="none"/>
                    </w:rPr>
                    <w:t>分</w:t>
                  </w:r>
                </w:p>
                <w:p>
                  <w:pPr>
                    <w:snapToGrid w:val="0"/>
                    <w:jc w:val="left"/>
                    <w:rPr>
                      <w:rFonts w:hint="eastAsia" w:ascii="宋体" w:hAnsi="宋体" w:eastAsia="宋体"/>
                      <w:color w:val="auto"/>
                      <w:szCs w:val="21"/>
                      <w:highlight w:val="none"/>
                    </w:rPr>
                  </w:pPr>
                  <w:r>
                    <w:rPr>
                      <w:rFonts w:hint="eastAsia" w:ascii="宋体" w:hAnsi="宋体" w:eastAsia="宋体"/>
                      <w:color w:val="auto"/>
                      <w:szCs w:val="21"/>
                      <w:highlight w:val="none"/>
                    </w:rPr>
                    <w:t>注：（1）本项应提供合同复印件或中标/成交通知书复印件作为证明材料，材料不完整不予计分。（2）同一项目多次委托不重复计分。</w:t>
                  </w:r>
                </w:p>
              </w:tc>
              <w:tc>
                <w:tcPr>
                  <w:tcW w:w="726"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宋体" w:hAnsi="宋体" w:eastAsia="宋体"/>
                      <w:color w:val="auto"/>
                      <w:szCs w:val="21"/>
                      <w:highlight w:val="none"/>
                      <w:lang w:eastAsia="zh-CN"/>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0</w:t>
                  </w:r>
                </w:p>
              </w:tc>
            </w:tr>
            <w:tr>
              <w:tblPrEx>
                <w:tblCellMar>
                  <w:top w:w="0" w:type="dxa"/>
                  <w:left w:w="108" w:type="dxa"/>
                  <w:bottom w:w="0" w:type="dxa"/>
                  <w:right w:w="108" w:type="dxa"/>
                </w:tblCellMar>
              </w:tblPrEx>
              <w:trPr>
                <w:trHeight w:val="1046" w:hRule="atLeast"/>
                <w:jc w:val="center"/>
              </w:trPr>
              <w:tc>
                <w:tcPr>
                  <w:tcW w:w="980" w:type="dxa"/>
                  <w:vMerge w:val="continue"/>
                  <w:tcBorders>
                    <w:left w:val="single" w:color="auto" w:sz="4" w:space="0"/>
                    <w:right w:val="single" w:color="auto" w:sz="4" w:space="0"/>
                  </w:tcBorders>
                  <w:noWrap w:val="0"/>
                  <w:vAlign w:val="center"/>
                </w:tcPr>
                <w:p>
                  <w:pPr>
                    <w:snapToGrid w:val="0"/>
                    <w:jc w:val="center"/>
                    <w:rPr>
                      <w:rFonts w:hint="eastAsia" w:ascii="宋体" w:hAnsi="宋体" w:eastAsia="宋体"/>
                      <w:color w:val="auto"/>
                      <w:szCs w:val="21"/>
                      <w:highlight w:val="none"/>
                    </w:rPr>
                  </w:pPr>
                </w:p>
              </w:tc>
              <w:tc>
                <w:tcPr>
                  <w:tcW w:w="1154" w:type="dxa"/>
                  <w:vMerge w:val="continue"/>
                  <w:tcBorders>
                    <w:left w:val="nil"/>
                    <w:bottom w:val="single" w:color="auto" w:sz="4" w:space="0"/>
                    <w:right w:val="single" w:color="auto" w:sz="4" w:space="0"/>
                  </w:tcBorders>
                  <w:noWrap w:val="0"/>
                  <w:vAlign w:val="center"/>
                </w:tcPr>
                <w:p>
                  <w:pPr>
                    <w:snapToGrid w:val="0"/>
                    <w:jc w:val="center"/>
                    <w:rPr>
                      <w:rFonts w:hint="eastAsia" w:ascii="宋体" w:hAnsi="宋体" w:eastAsia="宋体"/>
                      <w:color w:val="auto"/>
                      <w:szCs w:val="21"/>
                      <w:highlight w:val="none"/>
                    </w:rPr>
                  </w:pPr>
                </w:p>
              </w:tc>
              <w:tc>
                <w:tcPr>
                  <w:tcW w:w="5558" w:type="dxa"/>
                  <w:tcBorders>
                    <w:top w:val="single" w:color="auto" w:sz="4" w:space="0"/>
                    <w:left w:val="nil"/>
                    <w:bottom w:val="single" w:color="auto" w:sz="4" w:space="0"/>
                    <w:right w:val="single" w:color="auto" w:sz="4" w:space="0"/>
                  </w:tcBorders>
                  <w:noWrap w:val="0"/>
                  <w:vAlign w:val="center"/>
                </w:tcPr>
                <w:p>
                  <w:pPr>
                    <w:snapToGrid w:val="0"/>
                    <w:jc w:val="left"/>
                    <w:rPr>
                      <w:rFonts w:hint="eastAsia" w:ascii="宋体" w:hAnsi="宋体" w:eastAsia="宋体"/>
                      <w:color w:val="auto"/>
                      <w:szCs w:val="21"/>
                      <w:highlight w:val="none"/>
                    </w:rPr>
                  </w:pPr>
                  <w:r>
                    <w:rPr>
                      <w:rFonts w:hint="eastAsia" w:ascii="宋体" w:hAnsi="宋体" w:eastAsia="宋体"/>
                      <w:color w:val="auto"/>
                      <w:szCs w:val="21"/>
                      <w:highlight w:val="none"/>
                    </w:rPr>
                    <w:t>以上业绩获得采购单位的肯定和好评的，每提供一个得1分，满分5分。以采购单位的评价意见为准。（提供评价意见复印件，未提供不得分。）</w:t>
                  </w:r>
                </w:p>
              </w:tc>
              <w:tc>
                <w:tcPr>
                  <w:tcW w:w="726"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宋体" w:hAnsi="宋体" w:eastAsia="宋体"/>
                      <w:color w:val="auto"/>
                      <w:szCs w:val="21"/>
                      <w:highlight w:val="none"/>
                    </w:rPr>
                  </w:pPr>
                  <w:r>
                    <w:rPr>
                      <w:rFonts w:hint="eastAsia" w:ascii="宋体" w:hAnsi="宋体" w:eastAsia="宋体"/>
                      <w:color w:val="auto"/>
                      <w:szCs w:val="21"/>
                      <w:highlight w:val="none"/>
                    </w:rPr>
                    <w:t>5</w:t>
                  </w:r>
                </w:p>
              </w:tc>
            </w:tr>
            <w:tr>
              <w:tblPrEx>
                <w:tblCellMar>
                  <w:top w:w="0" w:type="dxa"/>
                  <w:left w:w="108" w:type="dxa"/>
                  <w:bottom w:w="0" w:type="dxa"/>
                  <w:right w:w="108" w:type="dxa"/>
                </w:tblCellMar>
              </w:tblPrEx>
              <w:trPr>
                <w:trHeight w:val="1031" w:hRule="atLeast"/>
                <w:jc w:val="center"/>
              </w:trPr>
              <w:tc>
                <w:tcPr>
                  <w:tcW w:w="980" w:type="dxa"/>
                  <w:vMerge w:val="restart"/>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宋体" w:hAnsi="宋体" w:eastAsia="宋体"/>
                      <w:color w:val="auto"/>
                      <w:szCs w:val="21"/>
                      <w:highlight w:val="none"/>
                    </w:rPr>
                  </w:pPr>
                  <w:r>
                    <w:rPr>
                      <w:rFonts w:hint="eastAsia" w:ascii="宋体" w:hAnsi="宋体" w:eastAsia="宋体"/>
                      <w:color w:val="auto"/>
                      <w:szCs w:val="21"/>
                      <w:highlight w:val="none"/>
                    </w:rPr>
                    <w:t>技术部分</w:t>
                  </w:r>
                </w:p>
                <w:p>
                  <w:pPr>
                    <w:snapToGrid w:val="0"/>
                    <w:jc w:val="center"/>
                    <w:rPr>
                      <w:rFonts w:hint="eastAsia" w:ascii="宋体" w:hAnsi="宋体" w:eastAsia="宋体"/>
                      <w:color w:val="auto"/>
                      <w:szCs w:val="21"/>
                      <w:highlight w:val="none"/>
                    </w:rPr>
                  </w:pPr>
                  <w:r>
                    <w:rPr>
                      <w:rFonts w:hint="eastAsia" w:ascii="宋体" w:hAnsi="宋体" w:eastAsia="宋体"/>
                      <w:color w:val="auto"/>
                      <w:szCs w:val="21"/>
                      <w:highlight w:val="none"/>
                    </w:rPr>
                    <w:t>（7</w:t>
                  </w:r>
                  <w:r>
                    <w:rPr>
                      <w:rFonts w:hint="eastAsia" w:ascii="宋体" w:hAnsi="宋体" w:eastAsia="宋体"/>
                      <w:color w:val="auto"/>
                      <w:szCs w:val="21"/>
                      <w:highlight w:val="none"/>
                      <w:lang w:val="en-US" w:eastAsia="zh-CN"/>
                    </w:rPr>
                    <w:t>5</w:t>
                  </w:r>
                  <w:r>
                    <w:rPr>
                      <w:rFonts w:hint="eastAsia" w:ascii="宋体" w:hAnsi="宋体" w:eastAsia="宋体"/>
                      <w:color w:val="auto"/>
                      <w:szCs w:val="21"/>
                      <w:highlight w:val="none"/>
                    </w:rPr>
                    <w:t>分）</w:t>
                  </w:r>
                </w:p>
              </w:tc>
              <w:tc>
                <w:tcPr>
                  <w:tcW w:w="1154"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宋体" w:hAnsi="宋体" w:eastAsia="宋体"/>
                      <w:color w:val="auto"/>
                      <w:szCs w:val="21"/>
                      <w:highlight w:val="none"/>
                    </w:rPr>
                  </w:pPr>
                  <w:r>
                    <w:rPr>
                      <w:rFonts w:hint="eastAsia" w:ascii="宋体" w:hAnsi="宋体" w:eastAsia="宋体"/>
                      <w:color w:val="auto"/>
                      <w:szCs w:val="21"/>
                      <w:highlight w:val="none"/>
                    </w:rPr>
                    <w:t>总体方案</w:t>
                  </w:r>
                </w:p>
              </w:tc>
              <w:tc>
                <w:tcPr>
                  <w:tcW w:w="5558" w:type="dxa"/>
                  <w:tcBorders>
                    <w:top w:val="single" w:color="auto" w:sz="4" w:space="0"/>
                    <w:left w:val="single" w:color="auto" w:sz="4" w:space="0"/>
                    <w:bottom w:val="single" w:color="auto" w:sz="4" w:space="0"/>
                    <w:right w:val="single" w:color="auto" w:sz="4" w:space="0"/>
                  </w:tcBorders>
                  <w:noWrap w:val="0"/>
                  <w:vAlign w:val="center"/>
                </w:tcPr>
                <w:p>
                  <w:pPr>
                    <w:snapToGrid w:val="0"/>
                    <w:jc w:val="left"/>
                    <w:rPr>
                      <w:rFonts w:hint="eastAsia" w:ascii="宋体" w:hAnsi="宋体" w:eastAsia="宋体"/>
                      <w:color w:val="auto"/>
                      <w:szCs w:val="21"/>
                      <w:highlight w:val="none"/>
                    </w:rPr>
                  </w:pPr>
                  <w:r>
                    <w:rPr>
                      <w:rFonts w:hint="eastAsia" w:ascii="宋体" w:hAnsi="宋体" w:eastAsia="宋体"/>
                      <w:color w:val="auto"/>
                      <w:szCs w:val="21"/>
                      <w:highlight w:val="none"/>
                    </w:rPr>
                    <w:t>根据供应商提供的工作方案进行打分，方案内容包括但不限于检查前期方案、检查后期检查报告、报告分析、报告审核、资料保存、提交报告时间、检查结果保密性等内容。上述7项内容评审指标：①符合度：是否进行充分响应，不得提供与本评标项无关内容；②完整性：需结合整体需求，进行全方面的描述，不得缺项；③合理性：需依据本项目阐述，措施可落地。</w:t>
                  </w:r>
                  <w:r>
                    <w:rPr>
                      <w:rFonts w:hint="eastAsia" w:ascii="宋体" w:hAnsi="宋体" w:eastAsia="宋体"/>
                      <w:color w:val="auto"/>
                      <w:szCs w:val="21"/>
                      <w:highlight w:val="none"/>
                    </w:rPr>
                    <w:cr/>
                  </w:r>
                  <w:r>
                    <w:rPr>
                      <w:rFonts w:hint="eastAsia" w:ascii="宋体" w:hAnsi="宋体" w:eastAsia="宋体"/>
                      <w:color w:val="auto"/>
                      <w:szCs w:val="21"/>
                      <w:highlight w:val="none"/>
                    </w:rPr>
                    <w:t>上述每项内容完全满足以上评审指标要求的得2分，存在缺陷每处扣 1分，扣完为止；未响应或未提供的得0分。</w:t>
                  </w:r>
                </w:p>
              </w:tc>
              <w:tc>
                <w:tcPr>
                  <w:tcW w:w="726"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宋体" w:hAnsi="宋体" w:eastAsia="宋体"/>
                      <w:color w:val="auto"/>
                      <w:szCs w:val="21"/>
                      <w:highlight w:val="none"/>
                    </w:rPr>
                  </w:pPr>
                  <w:r>
                    <w:rPr>
                      <w:rFonts w:hint="eastAsia" w:ascii="宋体" w:hAnsi="宋体" w:eastAsia="宋体"/>
                      <w:color w:val="auto"/>
                      <w:szCs w:val="21"/>
                      <w:highlight w:val="none"/>
                    </w:rPr>
                    <w:t>14</w:t>
                  </w:r>
                </w:p>
              </w:tc>
            </w:tr>
            <w:tr>
              <w:tblPrEx>
                <w:tblCellMar>
                  <w:top w:w="0" w:type="dxa"/>
                  <w:left w:w="108" w:type="dxa"/>
                  <w:bottom w:w="0" w:type="dxa"/>
                  <w:right w:w="108" w:type="dxa"/>
                </w:tblCellMar>
              </w:tblPrEx>
              <w:trPr>
                <w:trHeight w:val="1664" w:hRule="atLeast"/>
                <w:jc w:val="center"/>
              </w:trPr>
              <w:tc>
                <w:tcPr>
                  <w:tcW w:w="980" w:type="dxa"/>
                  <w:vMerge w:val="continue"/>
                  <w:tcBorders>
                    <w:left w:val="single" w:color="auto" w:sz="4" w:space="0"/>
                    <w:right w:val="single" w:color="auto" w:sz="4" w:space="0"/>
                  </w:tcBorders>
                  <w:noWrap w:val="0"/>
                  <w:vAlign w:val="center"/>
                </w:tcPr>
                <w:p>
                  <w:pPr>
                    <w:snapToGrid w:val="0"/>
                    <w:jc w:val="center"/>
                    <w:rPr>
                      <w:rFonts w:hint="eastAsia" w:ascii="宋体" w:hAnsi="宋体" w:eastAsia="宋体"/>
                      <w:color w:val="auto"/>
                      <w:szCs w:val="21"/>
                      <w:highlight w:val="none"/>
                    </w:rPr>
                  </w:pPr>
                </w:p>
              </w:tc>
              <w:tc>
                <w:tcPr>
                  <w:tcW w:w="1154"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宋体" w:hAnsi="宋体" w:eastAsia="宋体"/>
                      <w:color w:val="auto"/>
                      <w:szCs w:val="21"/>
                      <w:highlight w:val="none"/>
                    </w:rPr>
                  </w:pPr>
                  <w:r>
                    <w:rPr>
                      <w:rFonts w:hint="eastAsia" w:ascii="宋体" w:hAnsi="宋体" w:eastAsia="宋体"/>
                      <w:color w:val="auto"/>
                      <w:szCs w:val="21"/>
                      <w:highlight w:val="none"/>
                    </w:rPr>
                    <w:t>安全巡查</w:t>
                  </w:r>
                </w:p>
                <w:p>
                  <w:pPr>
                    <w:snapToGrid w:val="0"/>
                    <w:jc w:val="center"/>
                    <w:rPr>
                      <w:rFonts w:hint="eastAsia" w:ascii="宋体" w:hAnsi="宋体" w:eastAsia="宋体"/>
                      <w:color w:val="auto"/>
                      <w:szCs w:val="21"/>
                      <w:highlight w:val="none"/>
                    </w:rPr>
                  </w:pPr>
                  <w:r>
                    <w:rPr>
                      <w:rFonts w:hint="eastAsia" w:ascii="宋体" w:hAnsi="宋体" w:eastAsia="宋体"/>
                      <w:color w:val="auto"/>
                      <w:szCs w:val="21"/>
                      <w:highlight w:val="none"/>
                    </w:rPr>
                    <w:t>方案</w:t>
                  </w:r>
                </w:p>
              </w:tc>
              <w:tc>
                <w:tcPr>
                  <w:tcW w:w="5558" w:type="dxa"/>
                  <w:tcBorders>
                    <w:top w:val="single" w:color="auto" w:sz="4" w:space="0"/>
                    <w:left w:val="single" w:color="auto" w:sz="4" w:space="0"/>
                    <w:bottom w:val="single" w:color="auto" w:sz="4" w:space="0"/>
                    <w:right w:val="single" w:color="auto" w:sz="4" w:space="0"/>
                  </w:tcBorders>
                  <w:noWrap w:val="0"/>
                  <w:vAlign w:val="center"/>
                </w:tcPr>
                <w:p>
                  <w:pPr>
                    <w:snapToGrid w:val="0"/>
                    <w:jc w:val="left"/>
                    <w:rPr>
                      <w:rFonts w:hint="eastAsia" w:ascii="宋体" w:hAnsi="宋体" w:eastAsia="宋体"/>
                      <w:color w:val="auto"/>
                      <w:szCs w:val="21"/>
                      <w:highlight w:val="none"/>
                    </w:rPr>
                  </w:pPr>
                  <w:r>
                    <w:rPr>
                      <w:rFonts w:hint="eastAsia" w:ascii="宋体" w:hAnsi="宋体" w:eastAsia="宋体"/>
                      <w:color w:val="auto"/>
                      <w:szCs w:val="21"/>
                      <w:highlight w:val="none"/>
                    </w:rPr>
                    <w:t>根据供应商提供安全巡查方案进行打分，方案完全满足磋商文件要求，内容详尽、针对性强、合理可行得</w:t>
                  </w:r>
                  <w:r>
                    <w:rPr>
                      <w:rFonts w:hint="eastAsia" w:ascii="宋体" w:hAnsi="宋体" w:eastAsia="宋体"/>
                      <w:color w:val="auto"/>
                      <w:szCs w:val="21"/>
                      <w:highlight w:val="none"/>
                      <w:lang w:val="en-US" w:eastAsia="zh-CN"/>
                    </w:rPr>
                    <w:t>7</w:t>
                  </w:r>
                  <w:r>
                    <w:rPr>
                      <w:rFonts w:hint="eastAsia" w:ascii="宋体" w:hAnsi="宋体" w:eastAsia="宋体"/>
                      <w:color w:val="auto"/>
                      <w:szCs w:val="21"/>
                      <w:highlight w:val="none"/>
                    </w:rPr>
                    <w:t>分；方案基本满足磋商文件要求，内容较完整，基本合理可行得</w:t>
                  </w:r>
                  <w:r>
                    <w:rPr>
                      <w:rFonts w:hint="eastAsia" w:ascii="宋体" w:hAnsi="宋体" w:eastAsia="宋体"/>
                      <w:color w:val="auto"/>
                      <w:szCs w:val="21"/>
                      <w:highlight w:val="none"/>
                      <w:lang w:val="en-US" w:eastAsia="zh-CN"/>
                    </w:rPr>
                    <w:t>4</w:t>
                  </w:r>
                  <w:r>
                    <w:rPr>
                      <w:rFonts w:hint="eastAsia" w:ascii="宋体" w:hAnsi="宋体" w:eastAsia="宋体"/>
                      <w:color w:val="auto"/>
                      <w:szCs w:val="21"/>
                      <w:highlight w:val="none"/>
                    </w:rPr>
                    <w:t>分；方案响应磋商文件要求不足，内容有缺漏，可行性一般得</w:t>
                  </w:r>
                  <w:r>
                    <w:rPr>
                      <w:rFonts w:hint="eastAsia" w:ascii="宋体" w:hAnsi="宋体" w:eastAsia="宋体"/>
                      <w:color w:val="auto"/>
                      <w:szCs w:val="21"/>
                      <w:highlight w:val="none"/>
                      <w:lang w:val="en-US" w:eastAsia="zh-CN"/>
                    </w:rPr>
                    <w:t>1</w:t>
                  </w:r>
                  <w:r>
                    <w:rPr>
                      <w:rFonts w:hint="eastAsia" w:ascii="宋体" w:hAnsi="宋体" w:eastAsia="宋体"/>
                      <w:color w:val="auto"/>
                      <w:szCs w:val="21"/>
                      <w:highlight w:val="none"/>
                    </w:rPr>
                    <w:t>分，未提供的得0分。</w:t>
                  </w:r>
                </w:p>
              </w:tc>
              <w:tc>
                <w:tcPr>
                  <w:tcW w:w="726"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宋体" w:hAnsi="宋体" w:eastAsia="宋体"/>
                      <w:color w:val="auto"/>
                      <w:szCs w:val="21"/>
                      <w:highlight w:val="none"/>
                      <w:lang w:eastAsia="zh-CN"/>
                    </w:rPr>
                  </w:pPr>
                  <w:r>
                    <w:rPr>
                      <w:rFonts w:hint="eastAsia" w:ascii="宋体" w:hAnsi="宋体" w:eastAsia="宋体"/>
                      <w:color w:val="auto"/>
                      <w:szCs w:val="21"/>
                      <w:highlight w:val="none"/>
                      <w:lang w:val="en-US" w:eastAsia="zh-CN"/>
                    </w:rPr>
                    <w:t>7</w:t>
                  </w:r>
                </w:p>
              </w:tc>
            </w:tr>
            <w:tr>
              <w:tblPrEx>
                <w:tblCellMar>
                  <w:top w:w="0" w:type="dxa"/>
                  <w:left w:w="108" w:type="dxa"/>
                  <w:bottom w:w="0" w:type="dxa"/>
                  <w:right w:w="108" w:type="dxa"/>
                </w:tblCellMar>
              </w:tblPrEx>
              <w:trPr>
                <w:trHeight w:val="1551" w:hRule="atLeast"/>
                <w:jc w:val="center"/>
              </w:trPr>
              <w:tc>
                <w:tcPr>
                  <w:tcW w:w="980"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宋体" w:hAnsi="宋体" w:eastAsia="宋体"/>
                      <w:color w:val="auto"/>
                      <w:szCs w:val="21"/>
                      <w:highlight w:val="none"/>
                    </w:rPr>
                  </w:pPr>
                </w:p>
              </w:tc>
              <w:tc>
                <w:tcPr>
                  <w:tcW w:w="1154"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宋体" w:hAnsi="宋体" w:eastAsia="宋体"/>
                      <w:color w:val="auto"/>
                      <w:szCs w:val="21"/>
                      <w:highlight w:val="none"/>
                    </w:rPr>
                  </w:pPr>
                  <w:r>
                    <w:rPr>
                      <w:rFonts w:hint="eastAsia" w:ascii="宋体" w:hAnsi="宋体" w:eastAsia="宋体"/>
                      <w:color w:val="auto"/>
                      <w:szCs w:val="21"/>
                      <w:highlight w:val="none"/>
                    </w:rPr>
                    <w:t>服务质量保障措施</w:t>
                  </w:r>
                </w:p>
              </w:tc>
              <w:tc>
                <w:tcPr>
                  <w:tcW w:w="5558" w:type="dxa"/>
                  <w:tcBorders>
                    <w:top w:val="single" w:color="auto" w:sz="4" w:space="0"/>
                    <w:left w:val="single" w:color="auto" w:sz="4" w:space="0"/>
                    <w:bottom w:val="single" w:color="auto" w:sz="4" w:space="0"/>
                    <w:right w:val="single" w:color="auto" w:sz="4" w:space="0"/>
                  </w:tcBorders>
                  <w:noWrap w:val="0"/>
                  <w:vAlign w:val="center"/>
                </w:tcPr>
                <w:p>
                  <w:pPr>
                    <w:snapToGrid w:val="0"/>
                    <w:jc w:val="left"/>
                    <w:rPr>
                      <w:rFonts w:hint="eastAsia" w:ascii="宋体" w:hAnsi="宋体" w:eastAsia="宋体"/>
                      <w:color w:val="auto"/>
                      <w:szCs w:val="21"/>
                      <w:highlight w:val="none"/>
                    </w:rPr>
                  </w:pPr>
                  <w:r>
                    <w:rPr>
                      <w:rFonts w:hint="eastAsia" w:ascii="宋体" w:hAnsi="宋体" w:eastAsia="宋体"/>
                      <w:color w:val="auto"/>
                      <w:szCs w:val="21"/>
                      <w:highlight w:val="none"/>
                    </w:rPr>
                    <w:t>服务质量保障措施全面、细致、责任到人，承诺服务质量标准高且有合理可行的经济保证措施得10分；保障措施基本全面、承诺服务质量标准满足要求、经济保证措施基本合理可行得7分；保障措施欠缺、可行性一般的得4分；未提供的得0分。</w:t>
                  </w:r>
                </w:p>
              </w:tc>
              <w:tc>
                <w:tcPr>
                  <w:tcW w:w="726" w:type="dxa"/>
                  <w:tcBorders>
                    <w:top w:val="single" w:color="auto" w:sz="4" w:space="0"/>
                    <w:left w:val="nil"/>
                    <w:bottom w:val="single" w:color="auto" w:sz="4" w:space="0"/>
                    <w:right w:val="single" w:color="auto" w:sz="4" w:space="0"/>
                  </w:tcBorders>
                  <w:noWrap w:val="0"/>
                  <w:vAlign w:val="center"/>
                </w:tcPr>
                <w:p>
                  <w:pPr>
                    <w:snapToGrid w:val="0"/>
                    <w:jc w:val="center"/>
                    <w:rPr>
                      <w:rFonts w:hint="eastAsia" w:ascii="宋体" w:hAnsi="宋体" w:eastAsia="宋体"/>
                      <w:color w:val="auto"/>
                      <w:szCs w:val="21"/>
                      <w:highlight w:val="none"/>
                    </w:rPr>
                  </w:pPr>
                  <w:r>
                    <w:rPr>
                      <w:rFonts w:hint="eastAsia" w:ascii="宋体" w:hAnsi="宋体" w:eastAsia="宋体"/>
                      <w:color w:val="auto"/>
                      <w:szCs w:val="21"/>
                      <w:highlight w:val="none"/>
                    </w:rPr>
                    <w:t>10</w:t>
                  </w:r>
                </w:p>
              </w:tc>
            </w:tr>
            <w:tr>
              <w:tblPrEx>
                <w:tblCellMar>
                  <w:top w:w="0" w:type="dxa"/>
                  <w:left w:w="108" w:type="dxa"/>
                  <w:bottom w:w="0" w:type="dxa"/>
                  <w:right w:w="108" w:type="dxa"/>
                </w:tblCellMar>
              </w:tblPrEx>
              <w:trPr>
                <w:trHeight w:val="1148" w:hRule="atLeast"/>
                <w:jc w:val="center"/>
              </w:trPr>
              <w:tc>
                <w:tcPr>
                  <w:tcW w:w="980"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宋体" w:hAnsi="宋体" w:eastAsia="宋体"/>
                      <w:color w:val="auto"/>
                      <w:szCs w:val="21"/>
                      <w:highlight w:val="none"/>
                    </w:rPr>
                  </w:pPr>
                </w:p>
              </w:tc>
              <w:tc>
                <w:tcPr>
                  <w:tcW w:w="1154" w:type="dxa"/>
                  <w:vMerge w:val="restart"/>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宋体" w:hAnsi="宋体" w:eastAsia="宋体"/>
                      <w:color w:val="auto"/>
                      <w:szCs w:val="21"/>
                      <w:highlight w:val="none"/>
                    </w:rPr>
                  </w:pPr>
                  <w:r>
                    <w:rPr>
                      <w:rFonts w:hint="eastAsia" w:ascii="宋体" w:hAnsi="宋体" w:eastAsia="宋体"/>
                      <w:color w:val="auto"/>
                      <w:szCs w:val="21"/>
                      <w:highlight w:val="none"/>
                    </w:rPr>
                    <w:t>人员配备方案</w:t>
                  </w:r>
                </w:p>
              </w:tc>
              <w:tc>
                <w:tcPr>
                  <w:tcW w:w="5558" w:type="dxa"/>
                  <w:tcBorders>
                    <w:top w:val="single" w:color="auto" w:sz="4" w:space="0"/>
                    <w:left w:val="single" w:color="auto" w:sz="4" w:space="0"/>
                    <w:bottom w:val="single" w:color="auto" w:sz="4" w:space="0"/>
                    <w:right w:val="single" w:color="auto" w:sz="4" w:space="0"/>
                  </w:tcBorders>
                  <w:noWrap w:val="0"/>
                  <w:vAlign w:val="center"/>
                </w:tcPr>
                <w:p>
                  <w:pPr>
                    <w:snapToGrid w:val="0"/>
                    <w:jc w:val="left"/>
                    <w:rPr>
                      <w:rFonts w:hint="eastAsia" w:ascii="宋体" w:hAnsi="宋体" w:eastAsia="宋体"/>
                      <w:color w:val="auto"/>
                      <w:szCs w:val="21"/>
                      <w:highlight w:val="none"/>
                    </w:rPr>
                  </w:pPr>
                  <w:r>
                    <w:rPr>
                      <w:rFonts w:hint="eastAsia" w:ascii="宋体" w:hAnsi="宋体" w:eastAsia="宋体"/>
                      <w:color w:val="auto"/>
                      <w:szCs w:val="21"/>
                      <w:highlight w:val="none"/>
                    </w:rPr>
                    <w:t>提供拟投入的人员框架图及配备方案。人员框架图及配备方案清晰完整、人员数量完全满足磋商文件要求，且职责明确，得5分；人员框架图及配备方案完整、基本满足要求且配备较齐全，得3分；人员框架图及配备方案有缺陷</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rPr>
                    <w:t>不够齐全，得1分。</w:t>
                  </w:r>
                </w:p>
              </w:tc>
              <w:tc>
                <w:tcPr>
                  <w:tcW w:w="726" w:type="dxa"/>
                  <w:tcBorders>
                    <w:top w:val="single" w:color="auto" w:sz="4" w:space="0"/>
                    <w:left w:val="nil"/>
                    <w:bottom w:val="single" w:color="auto" w:sz="4" w:space="0"/>
                    <w:right w:val="single" w:color="auto" w:sz="4" w:space="0"/>
                  </w:tcBorders>
                  <w:noWrap w:val="0"/>
                  <w:vAlign w:val="center"/>
                </w:tcPr>
                <w:p>
                  <w:pPr>
                    <w:snapToGrid w:val="0"/>
                    <w:jc w:val="center"/>
                    <w:rPr>
                      <w:rFonts w:hint="eastAsia" w:ascii="宋体" w:hAnsi="宋体" w:eastAsia="宋体"/>
                      <w:color w:val="auto"/>
                      <w:szCs w:val="21"/>
                      <w:highlight w:val="none"/>
                    </w:rPr>
                  </w:pPr>
                  <w:r>
                    <w:rPr>
                      <w:rFonts w:hint="eastAsia" w:ascii="宋体" w:hAnsi="宋体" w:eastAsia="宋体"/>
                      <w:color w:val="auto"/>
                      <w:szCs w:val="21"/>
                      <w:highlight w:val="none"/>
                    </w:rPr>
                    <w:t>5</w:t>
                  </w:r>
                </w:p>
              </w:tc>
            </w:tr>
            <w:tr>
              <w:tblPrEx>
                <w:tblCellMar>
                  <w:top w:w="0" w:type="dxa"/>
                  <w:left w:w="108" w:type="dxa"/>
                  <w:bottom w:w="0" w:type="dxa"/>
                  <w:right w:w="108" w:type="dxa"/>
                </w:tblCellMar>
              </w:tblPrEx>
              <w:trPr>
                <w:trHeight w:val="2525" w:hRule="atLeast"/>
                <w:jc w:val="center"/>
              </w:trPr>
              <w:tc>
                <w:tcPr>
                  <w:tcW w:w="980"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宋体" w:hAnsi="宋体" w:eastAsia="宋体"/>
                      <w:color w:val="auto"/>
                      <w:szCs w:val="21"/>
                      <w:highlight w:val="none"/>
                    </w:rPr>
                  </w:pPr>
                </w:p>
              </w:tc>
              <w:tc>
                <w:tcPr>
                  <w:tcW w:w="1154"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宋体" w:hAnsi="宋体" w:eastAsia="宋体"/>
                      <w:color w:val="auto"/>
                      <w:szCs w:val="21"/>
                      <w:highlight w:val="none"/>
                    </w:rPr>
                  </w:pPr>
                </w:p>
              </w:tc>
              <w:tc>
                <w:tcPr>
                  <w:tcW w:w="5558" w:type="dxa"/>
                  <w:tcBorders>
                    <w:top w:val="single" w:color="auto" w:sz="4" w:space="0"/>
                    <w:left w:val="single" w:color="auto" w:sz="4" w:space="0"/>
                    <w:bottom w:val="single" w:color="auto" w:sz="4" w:space="0"/>
                    <w:right w:val="single" w:color="auto" w:sz="4" w:space="0"/>
                  </w:tcBorders>
                  <w:noWrap w:val="0"/>
                  <w:vAlign w:val="center"/>
                </w:tcPr>
                <w:p>
                  <w:pPr>
                    <w:snapToGrid w:val="0"/>
                    <w:jc w:val="left"/>
                    <w:rPr>
                      <w:rFonts w:hint="eastAsia" w:ascii="宋体" w:hAnsi="宋体" w:eastAsia="宋体"/>
                      <w:color w:val="auto"/>
                      <w:szCs w:val="21"/>
                      <w:highlight w:val="none"/>
                    </w:rPr>
                  </w:pPr>
                  <w:r>
                    <w:rPr>
                      <w:rFonts w:hint="eastAsia" w:ascii="宋体" w:hAnsi="宋体" w:eastAsia="宋体"/>
                      <w:color w:val="auto"/>
                      <w:szCs w:val="21"/>
                      <w:highlight w:val="none"/>
                    </w:rPr>
                    <w:t>1.供应商拟派人员中每具有一名注册安全工程师证书得1分，最高</w:t>
                  </w:r>
                  <w:r>
                    <w:rPr>
                      <w:rFonts w:hint="eastAsia" w:ascii="宋体" w:hAnsi="宋体" w:eastAsia="宋体"/>
                      <w:color w:val="auto"/>
                      <w:szCs w:val="21"/>
                      <w:highlight w:val="none"/>
                      <w:lang w:eastAsia="zh-CN"/>
                    </w:rPr>
                    <w:t>得</w:t>
                  </w:r>
                  <w:r>
                    <w:rPr>
                      <w:rFonts w:hint="eastAsia" w:ascii="宋体" w:hAnsi="宋体" w:eastAsia="宋体"/>
                      <w:color w:val="auto"/>
                      <w:szCs w:val="21"/>
                      <w:highlight w:val="none"/>
                    </w:rPr>
                    <w:t>8分；</w:t>
                  </w:r>
                  <w:r>
                    <w:rPr>
                      <w:rFonts w:hint="eastAsia" w:ascii="宋体" w:hAnsi="宋体" w:eastAsia="宋体"/>
                      <w:color w:val="auto"/>
                      <w:szCs w:val="21"/>
                      <w:highlight w:val="none"/>
                      <w:lang w:val="zh-CN"/>
                    </w:rPr>
                    <w:t>（提供</w:t>
                  </w:r>
                  <w:r>
                    <w:rPr>
                      <w:rFonts w:hint="eastAsia" w:ascii="宋体" w:hAnsi="宋体" w:eastAsia="宋体"/>
                      <w:color w:val="auto"/>
                      <w:szCs w:val="21"/>
                      <w:highlight w:val="none"/>
                    </w:rPr>
                    <w:t>人员</w:t>
                  </w:r>
                  <w:r>
                    <w:rPr>
                      <w:rFonts w:hint="eastAsia" w:ascii="宋体" w:hAnsi="宋体" w:eastAsia="宋体"/>
                      <w:color w:val="auto"/>
                      <w:szCs w:val="21"/>
                      <w:highlight w:val="none"/>
                      <w:lang w:val="zh-CN"/>
                    </w:rPr>
                    <w:t>证书、身份证、劳动合同复印件并加盖公章）</w:t>
                  </w:r>
                </w:p>
                <w:p>
                  <w:pPr>
                    <w:snapToGrid w:val="0"/>
                    <w:jc w:val="left"/>
                    <w:rPr>
                      <w:rFonts w:hint="eastAsia" w:ascii="宋体" w:hAnsi="宋体" w:eastAsia="宋体"/>
                      <w:color w:val="auto"/>
                      <w:szCs w:val="21"/>
                      <w:highlight w:val="none"/>
                      <w:lang w:val="zh-CN"/>
                    </w:rPr>
                  </w:pPr>
                  <w:r>
                    <w:rPr>
                      <w:rFonts w:hint="eastAsia" w:ascii="宋体" w:hAnsi="宋体" w:eastAsia="宋体"/>
                      <w:color w:val="auto"/>
                      <w:szCs w:val="21"/>
                      <w:highlight w:val="none"/>
                    </w:rPr>
                    <w:t>2、供应商拟派人员中具有高级职称人员得2分，中级职称得1分，最高得2分；</w:t>
                  </w:r>
                  <w:r>
                    <w:rPr>
                      <w:rFonts w:hint="eastAsia" w:ascii="宋体" w:hAnsi="宋体" w:eastAsia="宋体"/>
                      <w:color w:val="auto"/>
                      <w:szCs w:val="21"/>
                      <w:highlight w:val="none"/>
                      <w:lang w:val="zh-CN"/>
                    </w:rPr>
                    <w:t>（提供职称证、身份证、劳动合同复印件并加盖公章）；</w:t>
                  </w:r>
                </w:p>
                <w:p>
                  <w:pPr>
                    <w:snapToGrid w:val="0"/>
                    <w:jc w:val="left"/>
                    <w:rPr>
                      <w:rFonts w:hint="eastAsia" w:ascii="宋体" w:hAnsi="宋体" w:eastAsia="宋体"/>
                      <w:color w:val="auto"/>
                      <w:szCs w:val="21"/>
                      <w:highlight w:val="none"/>
                    </w:rPr>
                  </w:pPr>
                  <w:r>
                    <w:rPr>
                      <w:rFonts w:hint="eastAsia" w:ascii="宋体" w:hAnsi="宋体" w:eastAsia="宋体" w:cs="宋体"/>
                      <w:color w:val="auto"/>
                      <w:kern w:val="0"/>
                      <w:szCs w:val="21"/>
                      <w:highlight w:val="none"/>
                    </w:rPr>
                    <w:t>3、拟派日常巡查人员≤7人得1分；拟派日常巡查人员8人得2分；拟派日常巡查人员9人得3分，满分3分。（</w:t>
                  </w:r>
                  <w:r>
                    <w:rPr>
                      <w:rFonts w:hint="eastAsia" w:ascii="宋体" w:hAnsi="宋体" w:eastAsia="宋体" w:cs="宋体"/>
                      <w:color w:val="auto"/>
                      <w:kern w:val="0"/>
                      <w:szCs w:val="21"/>
                      <w:highlight w:val="none"/>
                      <w:lang w:val="zh-CN"/>
                    </w:rPr>
                    <w:t>提供人员配备表、身份证、劳动合同复印件并加盖公章</w:t>
                  </w:r>
                  <w:r>
                    <w:rPr>
                      <w:rFonts w:hint="eastAsia" w:ascii="宋体" w:hAnsi="宋体" w:eastAsia="宋体" w:cs="宋体"/>
                      <w:color w:val="auto"/>
                      <w:kern w:val="0"/>
                      <w:szCs w:val="21"/>
                      <w:highlight w:val="none"/>
                    </w:rPr>
                    <w:t>）</w:t>
                  </w:r>
                </w:p>
              </w:tc>
              <w:tc>
                <w:tcPr>
                  <w:tcW w:w="726" w:type="dxa"/>
                  <w:tcBorders>
                    <w:top w:val="single" w:color="auto" w:sz="4" w:space="0"/>
                    <w:left w:val="nil"/>
                    <w:bottom w:val="single" w:color="auto" w:sz="4" w:space="0"/>
                    <w:right w:val="single" w:color="auto" w:sz="4" w:space="0"/>
                  </w:tcBorders>
                  <w:noWrap w:val="0"/>
                  <w:vAlign w:val="center"/>
                </w:tcPr>
                <w:p>
                  <w:pPr>
                    <w:snapToGrid w:val="0"/>
                    <w:jc w:val="center"/>
                    <w:rPr>
                      <w:rFonts w:hint="eastAsia" w:ascii="宋体" w:hAnsi="宋体" w:eastAsia="宋体"/>
                      <w:color w:val="auto"/>
                      <w:szCs w:val="21"/>
                      <w:highlight w:val="none"/>
                    </w:rPr>
                  </w:pPr>
                  <w:r>
                    <w:rPr>
                      <w:rFonts w:hint="eastAsia" w:ascii="宋体" w:hAnsi="宋体" w:eastAsia="宋体"/>
                      <w:color w:val="auto"/>
                      <w:szCs w:val="21"/>
                      <w:highlight w:val="none"/>
                    </w:rPr>
                    <w:t>13</w:t>
                  </w:r>
                </w:p>
              </w:tc>
            </w:tr>
            <w:tr>
              <w:tblPrEx>
                <w:tblCellMar>
                  <w:top w:w="0" w:type="dxa"/>
                  <w:left w:w="108" w:type="dxa"/>
                  <w:bottom w:w="0" w:type="dxa"/>
                  <w:right w:w="108" w:type="dxa"/>
                </w:tblCellMar>
              </w:tblPrEx>
              <w:trPr>
                <w:trHeight w:val="2378" w:hRule="atLeast"/>
                <w:jc w:val="center"/>
              </w:trPr>
              <w:tc>
                <w:tcPr>
                  <w:tcW w:w="980" w:type="dxa"/>
                  <w:vMerge w:val="continue"/>
                  <w:tcBorders>
                    <w:top w:val="single" w:color="auto" w:sz="4" w:space="0"/>
                    <w:left w:val="single" w:color="auto" w:sz="4" w:space="0"/>
                    <w:bottom w:val="single" w:color="auto" w:sz="4" w:space="0"/>
                    <w:right w:val="single" w:color="auto" w:sz="4" w:space="0"/>
                  </w:tcBorders>
                  <w:noWrap w:val="0"/>
                  <w:vAlign w:val="center"/>
                </w:tcPr>
                <w:p>
                  <w:pPr>
                    <w:pStyle w:val="6"/>
                    <w:keepNext w:val="0"/>
                    <w:keepLines w:val="0"/>
                    <w:pageBreakBefore w:val="0"/>
                    <w:kinsoku/>
                    <w:wordWrap/>
                    <w:overflowPunct/>
                    <w:topLinePunct w:val="0"/>
                    <w:autoSpaceDE/>
                    <w:autoSpaceDN/>
                    <w:bidi w:val="0"/>
                    <w:spacing w:line="240" w:lineRule="auto"/>
                    <w:textAlignment w:val="auto"/>
                    <w:rPr>
                      <w:rFonts w:hint="eastAsia" w:ascii="宋体" w:hAnsi="宋体" w:eastAsia="宋体" w:cstheme="minorBidi"/>
                      <w:color w:val="auto"/>
                      <w:kern w:val="2"/>
                      <w:sz w:val="21"/>
                      <w:szCs w:val="21"/>
                      <w:highlight w:val="none"/>
                      <w:lang w:val="en-US" w:eastAsia="zh-CN" w:bidi="ar-SA"/>
                    </w:rPr>
                  </w:pPr>
                </w:p>
              </w:tc>
              <w:tc>
                <w:tcPr>
                  <w:tcW w:w="11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auto"/>
                    <w:ind w:left="-57" w:leftChars="-27" w:right="-78" w:rightChars="-37"/>
                    <w:jc w:val="center"/>
                    <w:textAlignment w:val="auto"/>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theme="minorBidi"/>
                      <w:color w:val="auto"/>
                      <w:kern w:val="2"/>
                      <w:sz w:val="21"/>
                      <w:szCs w:val="21"/>
                      <w:highlight w:val="none"/>
                      <w:lang w:val="en-US" w:eastAsia="zh-CN" w:bidi="ar-SA"/>
                    </w:rPr>
                    <w:t>管理制度</w:t>
                  </w:r>
                </w:p>
              </w:tc>
              <w:tc>
                <w:tcPr>
                  <w:tcW w:w="555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auto"/>
                    <w:jc w:val="left"/>
                    <w:textAlignment w:val="auto"/>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theme="minorBidi"/>
                      <w:color w:val="auto"/>
                      <w:kern w:val="2"/>
                      <w:sz w:val="21"/>
                      <w:szCs w:val="21"/>
                      <w:highlight w:val="none"/>
                      <w:lang w:val="en-US" w:eastAsia="zh-CN" w:bidi="ar-SA"/>
                    </w:rPr>
                    <w:t>根据供应商提供的健全的执业规定及相应的管理制度进行评分。如档案管理制度、人事管理制度、财务管理制度、劳动福利管理制度等。上述4项内容评审指标：①符合度：是否进行充分响应，不得提供与本评标项无关内容；②完整性：需结合整体需求，进行全方面的描述，不得缺项；③合理性：需依据本项目阐述，措施可落地。</w:t>
                  </w:r>
                  <w:r>
                    <w:rPr>
                      <w:rFonts w:hint="eastAsia" w:ascii="宋体" w:hAnsi="宋体" w:eastAsia="宋体" w:cstheme="minorBidi"/>
                      <w:color w:val="auto"/>
                      <w:kern w:val="2"/>
                      <w:sz w:val="21"/>
                      <w:szCs w:val="21"/>
                      <w:highlight w:val="none"/>
                      <w:lang w:val="en-US" w:eastAsia="zh-CN" w:bidi="ar-SA"/>
                    </w:rPr>
                    <w:cr/>
                  </w:r>
                  <w:r>
                    <w:rPr>
                      <w:rFonts w:hint="eastAsia" w:ascii="宋体" w:hAnsi="宋体" w:eastAsia="宋体" w:cstheme="minorBidi"/>
                      <w:color w:val="auto"/>
                      <w:kern w:val="2"/>
                      <w:sz w:val="21"/>
                      <w:szCs w:val="21"/>
                      <w:highlight w:val="none"/>
                      <w:lang w:val="en-US" w:eastAsia="zh-CN" w:bidi="ar-SA"/>
                    </w:rPr>
                    <w:t>上述每项内容完全满足以上评审指标要求的得1分，存在缺陷每处扣 0.5分，扣完为止；未响应或未提供的得0分。</w:t>
                  </w:r>
                </w:p>
              </w:tc>
              <w:tc>
                <w:tcPr>
                  <w:tcW w:w="726" w:type="dxa"/>
                  <w:tcBorders>
                    <w:top w:val="single" w:color="auto" w:sz="4" w:space="0"/>
                    <w:left w:val="nil"/>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theme="minorBidi"/>
                      <w:color w:val="auto"/>
                      <w:kern w:val="2"/>
                      <w:sz w:val="21"/>
                      <w:szCs w:val="21"/>
                      <w:highlight w:val="none"/>
                      <w:lang w:val="en-US" w:eastAsia="zh-CN" w:bidi="ar-SA"/>
                    </w:rPr>
                    <w:t>4</w:t>
                  </w:r>
                </w:p>
              </w:tc>
            </w:tr>
            <w:tr>
              <w:tblPrEx>
                <w:tblCellMar>
                  <w:top w:w="0" w:type="dxa"/>
                  <w:left w:w="108" w:type="dxa"/>
                  <w:bottom w:w="0" w:type="dxa"/>
                  <w:right w:w="108" w:type="dxa"/>
                </w:tblCellMar>
              </w:tblPrEx>
              <w:trPr>
                <w:trHeight w:val="1398" w:hRule="atLeast"/>
                <w:jc w:val="center"/>
              </w:trPr>
              <w:tc>
                <w:tcPr>
                  <w:tcW w:w="980" w:type="dxa"/>
                  <w:vMerge w:val="continue"/>
                  <w:tcBorders>
                    <w:top w:val="single" w:color="auto" w:sz="4" w:space="0"/>
                    <w:left w:val="single" w:color="auto" w:sz="4" w:space="0"/>
                    <w:bottom w:val="single" w:color="auto" w:sz="4" w:space="0"/>
                    <w:right w:val="single" w:color="auto" w:sz="4" w:space="0"/>
                  </w:tcBorders>
                  <w:noWrap w:val="0"/>
                  <w:vAlign w:val="center"/>
                </w:tcPr>
                <w:p>
                  <w:pPr>
                    <w:pStyle w:val="6"/>
                    <w:keepNext w:val="0"/>
                    <w:keepLines w:val="0"/>
                    <w:pageBreakBefore w:val="0"/>
                    <w:kinsoku/>
                    <w:wordWrap/>
                    <w:overflowPunct/>
                    <w:topLinePunct w:val="0"/>
                    <w:autoSpaceDE/>
                    <w:autoSpaceDN/>
                    <w:bidi w:val="0"/>
                    <w:spacing w:line="240" w:lineRule="auto"/>
                    <w:textAlignment w:val="auto"/>
                    <w:rPr>
                      <w:rFonts w:hint="eastAsia" w:ascii="宋体" w:hAnsi="宋体" w:eastAsia="宋体" w:cstheme="minorBidi"/>
                      <w:color w:val="auto"/>
                      <w:kern w:val="2"/>
                      <w:sz w:val="21"/>
                      <w:szCs w:val="21"/>
                      <w:highlight w:val="none"/>
                      <w:lang w:val="en-US" w:eastAsia="zh-CN" w:bidi="ar-SA"/>
                    </w:rPr>
                  </w:pPr>
                </w:p>
              </w:tc>
              <w:tc>
                <w:tcPr>
                  <w:tcW w:w="11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auto"/>
                    <w:ind w:left="-57" w:leftChars="-27" w:right="-78" w:rightChars="-37"/>
                    <w:jc w:val="center"/>
                    <w:textAlignment w:val="auto"/>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theme="minorBidi"/>
                      <w:color w:val="auto"/>
                      <w:kern w:val="2"/>
                      <w:sz w:val="21"/>
                      <w:szCs w:val="21"/>
                      <w:highlight w:val="none"/>
                      <w:lang w:val="en-US" w:eastAsia="zh-CN" w:bidi="ar-SA"/>
                    </w:rPr>
                    <w:t>专项培训方案</w:t>
                  </w:r>
                </w:p>
              </w:tc>
              <w:tc>
                <w:tcPr>
                  <w:tcW w:w="555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theme="minorBidi"/>
                      <w:color w:val="auto"/>
                      <w:kern w:val="2"/>
                      <w:sz w:val="21"/>
                      <w:szCs w:val="21"/>
                      <w:highlight w:val="none"/>
                      <w:lang w:val="en-US" w:eastAsia="zh-CN" w:bidi="ar-SA"/>
                    </w:rPr>
                    <w:t>供应商提供详细的专项培训方案，包括培训场地、师资、培训内容、培训考核和效果评估。方案包含以上全部内容，合理可行的得5分；内容有缺漏，基本合理可行的得3分；内容有缺陷，可行性一般的得1分；未提供的得0分。</w:t>
                  </w:r>
                </w:p>
              </w:tc>
              <w:tc>
                <w:tcPr>
                  <w:tcW w:w="726" w:type="dxa"/>
                  <w:tcBorders>
                    <w:top w:val="single" w:color="auto" w:sz="4" w:space="0"/>
                    <w:left w:val="nil"/>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theme="minorBidi"/>
                      <w:color w:val="auto"/>
                      <w:kern w:val="2"/>
                      <w:sz w:val="21"/>
                      <w:szCs w:val="21"/>
                      <w:highlight w:val="none"/>
                      <w:lang w:val="en-US" w:eastAsia="zh-CN" w:bidi="ar-SA"/>
                    </w:rPr>
                    <w:t>5</w:t>
                  </w:r>
                </w:p>
              </w:tc>
            </w:tr>
            <w:tr>
              <w:tblPrEx>
                <w:tblCellMar>
                  <w:top w:w="0" w:type="dxa"/>
                  <w:left w:w="108" w:type="dxa"/>
                  <w:bottom w:w="0" w:type="dxa"/>
                  <w:right w:w="108" w:type="dxa"/>
                </w:tblCellMar>
              </w:tblPrEx>
              <w:trPr>
                <w:trHeight w:val="1560" w:hRule="atLeast"/>
                <w:jc w:val="center"/>
              </w:trPr>
              <w:tc>
                <w:tcPr>
                  <w:tcW w:w="980" w:type="dxa"/>
                  <w:vMerge w:val="continue"/>
                  <w:tcBorders>
                    <w:top w:val="single" w:color="auto" w:sz="4" w:space="0"/>
                    <w:left w:val="single" w:color="auto" w:sz="4" w:space="0"/>
                    <w:bottom w:val="single" w:color="auto" w:sz="4" w:space="0"/>
                    <w:right w:val="single" w:color="auto" w:sz="4" w:space="0"/>
                  </w:tcBorders>
                  <w:noWrap w:val="0"/>
                  <w:vAlign w:val="center"/>
                </w:tcPr>
                <w:p>
                  <w:pPr>
                    <w:pStyle w:val="6"/>
                    <w:keepNext w:val="0"/>
                    <w:keepLines w:val="0"/>
                    <w:pageBreakBefore w:val="0"/>
                    <w:kinsoku/>
                    <w:wordWrap/>
                    <w:overflowPunct/>
                    <w:topLinePunct w:val="0"/>
                    <w:autoSpaceDE/>
                    <w:autoSpaceDN/>
                    <w:bidi w:val="0"/>
                    <w:spacing w:line="240" w:lineRule="auto"/>
                    <w:textAlignment w:val="auto"/>
                    <w:rPr>
                      <w:rFonts w:hint="eastAsia" w:ascii="宋体" w:hAnsi="宋体" w:eastAsia="宋体" w:cstheme="minorBidi"/>
                      <w:color w:val="auto"/>
                      <w:kern w:val="2"/>
                      <w:sz w:val="21"/>
                      <w:szCs w:val="21"/>
                      <w:highlight w:val="none"/>
                      <w:lang w:val="en-US" w:eastAsia="zh-CN" w:bidi="ar-SA"/>
                    </w:rPr>
                  </w:pPr>
                </w:p>
              </w:tc>
              <w:tc>
                <w:tcPr>
                  <w:tcW w:w="11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auto"/>
                    <w:jc w:val="center"/>
                    <w:textAlignment w:val="auto"/>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theme="minorBidi"/>
                      <w:color w:val="auto"/>
                      <w:kern w:val="2"/>
                      <w:sz w:val="21"/>
                      <w:szCs w:val="21"/>
                      <w:highlight w:val="none"/>
                      <w:lang w:val="en-US" w:eastAsia="zh-CN" w:bidi="ar-SA"/>
                    </w:rPr>
                    <w:t>应急预案</w:t>
                  </w:r>
                </w:p>
              </w:tc>
              <w:tc>
                <w:tcPr>
                  <w:tcW w:w="555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auto"/>
                    <w:contextualSpacing/>
                    <w:jc w:val="left"/>
                    <w:textAlignment w:val="auto"/>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theme="minorBidi"/>
                      <w:color w:val="auto"/>
                      <w:kern w:val="2"/>
                      <w:sz w:val="21"/>
                      <w:szCs w:val="21"/>
                      <w:highlight w:val="none"/>
                      <w:lang w:val="en-US" w:eastAsia="zh-CN" w:bidi="ar-SA"/>
                    </w:rPr>
                    <w:t>对可能存在的突发情况进行预估，提出的应急解决方案针对性强，合理可行的得5分；对可能存在的突发情况进行预估，提出的应急解决方案针对性一般，基本合理可行的得3分；对可能存在的突发情况进行预估，提出的应急解决方案针对性弱，可行性一般的得1分；未提供的得0分。</w:t>
                  </w:r>
                </w:p>
              </w:tc>
              <w:tc>
                <w:tcPr>
                  <w:tcW w:w="726"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auto"/>
                    <w:jc w:val="center"/>
                    <w:textAlignment w:val="auto"/>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theme="minorBidi"/>
                      <w:color w:val="auto"/>
                      <w:kern w:val="2"/>
                      <w:sz w:val="21"/>
                      <w:szCs w:val="21"/>
                      <w:highlight w:val="none"/>
                      <w:lang w:val="en-US" w:eastAsia="zh-CN" w:bidi="ar-SA"/>
                    </w:rPr>
                    <w:t>5</w:t>
                  </w:r>
                </w:p>
              </w:tc>
            </w:tr>
            <w:tr>
              <w:tblPrEx>
                <w:tblCellMar>
                  <w:top w:w="0" w:type="dxa"/>
                  <w:left w:w="108" w:type="dxa"/>
                  <w:bottom w:w="0" w:type="dxa"/>
                  <w:right w:w="108" w:type="dxa"/>
                </w:tblCellMar>
              </w:tblPrEx>
              <w:trPr>
                <w:trHeight w:val="1474" w:hRule="atLeast"/>
                <w:jc w:val="center"/>
              </w:trPr>
              <w:tc>
                <w:tcPr>
                  <w:tcW w:w="980" w:type="dxa"/>
                  <w:vMerge w:val="continue"/>
                  <w:tcBorders>
                    <w:top w:val="single" w:color="auto" w:sz="4" w:space="0"/>
                    <w:left w:val="single" w:color="auto" w:sz="4" w:space="0"/>
                    <w:bottom w:val="single" w:color="auto" w:sz="4" w:space="0"/>
                    <w:right w:val="single" w:color="auto" w:sz="4" w:space="0"/>
                  </w:tcBorders>
                  <w:noWrap w:val="0"/>
                  <w:vAlign w:val="center"/>
                </w:tcPr>
                <w:p>
                  <w:pPr>
                    <w:pStyle w:val="6"/>
                    <w:keepNext w:val="0"/>
                    <w:keepLines w:val="0"/>
                    <w:pageBreakBefore w:val="0"/>
                    <w:kinsoku/>
                    <w:wordWrap/>
                    <w:overflowPunct/>
                    <w:topLinePunct w:val="0"/>
                    <w:autoSpaceDE/>
                    <w:autoSpaceDN/>
                    <w:bidi w:val="0"/>
                    <w:spacing w:line="240" w:lineRule="auto"/>
                    <w:textAlignment w:val="auto"/>
                    <w:rPr>
                      <w:rFonts w:hint="eastAsia" w:ascii="宋体" w:hAnsi="宋体" w:eastAsia="宋体" w:cstheme="minorBidi"/>
                      <w:color w:val="auto"/>
                      <w:kern w:val="2"/>
                      <w:sz w:val="21"/>
                      <w:szCs w:val="21"/>
                      <w:highlight w:val="none"/>
                      <w:lang w:val="en-US" w:eastAsia="zh-CN" w:bidi="ar-SA"/>
                    </w:rPr>
                  </w:pPr>
                </w:p>
              </w:tc>
              <w:tc>
                <w:tcPr>
                  <w:tcW w:w="11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auto"/>
                    <w:jc w:val="center"/>
                    <w:textAlignment w:val="auto"/>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theme="minorBidi"/>
                      <w:color w:val="auto"/>
                      <w:kern w:val="2"/>
                      <w:sz w:val="21"/>
                      <w:szCs w:val="21"/>
                      <w:highlight w:val="none"/>
                      <w:lang w:val="en-US" w:eastAsia="zh-CN" w:bidi="ar-SA"/>
                    </w:rPr>
                    <w:t>考核标准及违约处罚承诺</w:t>
                  </w:r>
                </w:p>
              </w:tc>
              <w:tc>
                <w:tcPr>
                  <w:tcW w:w="555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auto"/>
                    <w:jc w:val="left"/>
                    <w:textAlignment w:val="auto"/>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theme="minorBidi"/>
                      <w:color w:val="auto"/>
                      <w:kern w:val="2"/>
                      <w:sz w:val="21"/>
                      <w:szCs w:val="21"/>
                      <w:highlight w:val="none"/>
                      <w:lang w:val="en-US" w:eastAsia="zh-CN" w:bidi="ar-SA"/>
                    </w:rPr>
                    <w:t>对磋商文件规定的考核标准全面响应，并提出更完善的考核标准且有违约处罚承诺。内容详尽，合理可行的得得5分；内容有缺漏，基本合理可行的得3分；内容有缺陷，可行性一般的得1分；未提供的得0分。</w:t>
                  </w:r>
                </w:p>
              </w:tc>
              <w:tc>
                <w:tcPr>
                  <w:tcW w:w="726" w:type="dxa"/>
                  <w:tcBorders>
                    <w:top w:val="single" w:color="auto" w:sz="4" w:space="0"/>
                    <w:left w:val="nil"/>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theme="minorBidi"/>
                      <w:color w:val="auto"/>
                      <w:kern w:val="2"/>
                      <w:sz w:val="21"/>
                      <w:szCs w:val="21"/>
                      <w:highlight w:val="none"/>
                      <w:lang w:val="en-US" w:eastAsia="zh-CN" w:bidi="ar-SA"/>
                    </w:rPr>
                    <w:t>5</w:t>
                  </w:r>
                </w:p>
              </w:tc>
            </w:tr>
            <w:tr>
              <w:tblPrEx>
                <w:tblCellMar>
                  <w:top w:w="0" w:type="dxa"/>
                  <w:left w:w="108" w:type="dxa"/>
                  <w:bottom w:w="0" w:type="dxa"/>
                  <w:right w:w="108" w:type="dxa"/>
                </w:tblCellMar>
              </w:tblPrEx>
              <w:trPr>
                <w:trHeight w:val="1070" w:hRule="atLeast"/>
                <w:jc w:val="center"/>
              </w:trPr>
              <w:tc>
                <w:tcPr>
                  <w:tcW w:w="980" w:type="dxa"/>
                  <w:vMerge w:val="continue"/>
                  <w:tcBorders>
                    <w:top w:val="single" w:color="auto" w:sz="4" w:space="0"/>
                    <w:left w:val="single" w:color="auto" w:sz="4" w:space="0"/>
                    <w:bottom w:val="single" w:color="auto" w:sz="4" w:space="0"/>
                    <w:right w:val="single" w:color="auto" w:sz="4" w:space="0"/>
                  </w:tcBorders>
                  <w:noWrap w:val="0"/>
                  <w:vAlign w:val="center"/>
                </w:tcPr>
                <w:p>
                  <w:pPr>
                    <w:pStyle w:val="6"/>
                    <w:keepNext w:val="0"/>
                    <w:keepLines w:val="0"/>
                    <w:pageBreakBefore w:val="0"/>
                    <w:kinsoku/>
                    <w:wordWrap/>
                    <w:overflowPunct/>
                    <w:topLinePunct w:val="0"/>
                    <w:autoSpaceDE/>
                    <w:autoSpaceDN/>
                    <w:bidi w:val="0"/>
                    <w:spacing w:line="240" w:lineRule="auto"/>
                    <w:textAlignment w:val="auto"/>
                    <w:rPr>
                      <w:rFonts w:hint="eastAsia" w:ascii="宋体" w:hAnsi="宋体" w:eastAsia="宋体" w:cstheme="minorBidi"/>
                      <w:color w:val="auto"/>
                      <w:kern w:val="2"/>
                      <w:sz w:val="21"/>
                      <w:szCs w:val="21"/>
                      <w:highlight w:val="none"/>
                      <w:lang w:val="en-US" w:eastAsia="zh-CN" w:bidi="ar-SA"/>
                    </w:rPr>
                  </w:pPr>
                </w:p>
              </w:tc>
              <w:tc>
                <w:tcPr>
                  <w:tcW w:w="1154" w:type="dxa"/>
                  <w:vMerge w:val="restart"/>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theme="minorBidi"/>
                      <w:color w:val="auto"/>
                      <w:kern w:val="2"/>
                      <w:sz w:val="21"/>
                      <w:szCs w:val="21"/>
                      <w:highlight w:val="none"/>
                      <w:lang w:val="en-US" w:eastAsia="zh-CN" w:bidi="ar-SA"/>
                    </w:rPr>
                    <w:t>职业操守及承诺</w:t>
                  </w:r>
                </w:p>
              </w:tc>
              <w:tc>
                <w:tcPr>
                  <w:tcW w:w="555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auto"/>
                    <w:contextualSpacing/>
                    <w:jc w:val="left"/>
                    <w:textAlignment w:val="auto"/>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theme="minorBidi"/>
                      <w:color w:val="auto"/>
                      <w:kern w:val="2"/>
                      <w:sz w:val="21"/>
                      <w:szCs w:val="21"/>
                      <w:highlight w:val="none"/>
                      <w:lang w:val="en-US" w:eastAsia="zh-CN" w:bidi="ar-SA"/>
                    </w:rPr>
                    <w:t>有廉洁制度和保密制度且有相关保障措施，内容详尽，合理可行的得3分；内容有缺漏，基本合理可行的得2分；内容有缺陷，可行性一般的得1分；其他不得分。</w:t>
                  </w:r>
                </w:p>
              </w:tc>
              <w:tc>
                <w:tcPr>
                  <w:tcW w:w="726"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auto"/>
                    <w:jc w:val="center"/>
                    <w:textAlignment w:val="auto"/>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theme="minorBidi"/>
                      <w:color w:val="auto"/>
                      <w:kern w:val="2"/>
                      <w:sz w:val="21"/>
                      <w:szCs w:val="21"/>
                      <w:highlight w:val="none"/>
                      <w:lang w:val="en-US" w:eastAsia="zh-CN" w:bidi="ar-SA"/>
                    </w:rPr>
                    <w:t>3</w:t>
                  </w:r>
                </w:p>
              </w:tc>
            </w:tr>
            <w:tr>
              <w:tblPrEx>
                <w:tblCellMar>
                  <w:top w:w="0" w:type="dxa"/>
                  <w:left w:w="108" w:type="dxa"/>
                  <w:bottom w:w="0" w:type="dxa"/>
                  <w:right w:w="108" w:type="dxa"/>
                </w:tblCellMar>
              </w:tblPrEx>
              <w:trPr>
                <w:trHeight w:val="574" w:hRule="atLeast"/>
                <w:jc w:val="center"/>
              </w:trPr>
              <w:tc>
                <w:tcPr>
                  <w:tcW w:w="980" w:type="dxa"/>
                  <w:vMerge w:val="continue"/>
                  <w:tcBorders>
                    <w:top w:val="single" w:color="auto" w:sz="4" w:space="0"/>
                    <w:left w:val="single" w:color="auto" w:sz="4" w:space="0"/>
                    <w:bottom w:val="single" w:color="auto" w:sz="4" w:space="0"/>
                    <w:right w:val="single" w:color="auto" w:sz="4" w:space="0"/>
                  </w:tcBorders>
                  <w:noWrap w:val="0"/>
                  <w:vAlign w:val="center"/>
                </w:tcPr>
                <w:p>
                  <w:pPr>
                    <w:pStyle w:val="6"/>
                    <w:keepNext w:val="0"/>
                    <w:keepLines w:val="0"/>
                    <w:pageBreakBefore w:val="0"/>
                    <w:kinsoku/>
                    <w:wordWrap/>
                    <w:overflowPunct/>
                    <w:topLinePunct w:val="0"/>
                    <w:autoSpaceDE/>
                    <w:autoSpaceDN/>
                    <w:bidi w:val="0"/>
                    <w:spacing w:line="240" w:lineRule="auto"/>
                    <w:textAlignment w:val="auto"/>
                    <w:rPr>
                      <w:rFonts w:hint="eastAsia" w:ascii="宋体" w:hAnsi="宋体" w:eastAsia="宋体" w:cstheme="minorBidi"/>
                      <w:color w:val="auto"/>
                      <w:kern w:val="2"/>
                      <w:sz w:val="21"/>
                      <w:szCs w:val="21"/>
                      <w:highlight w:val="none"/>
                      <w:lang w:val="en-US" w:eastAsia="zh-CN" w:bidi="ar-SA"/>
                    </w:rPr>
                  </w:pPr>
                </w:p>
              </w:tc>
              <w:tc>
                <w:tcPr>
                  <w:tcW w:w="1154" w:type="dxa"/>
                  <w:vMerge w:val="continue"/>
                  <w:tcBorders>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theme="minorBidi"/>
                      <w:color w:val="auto"/>
                      <w:kern w:val="2"/>
                      <w:sz w:val="21"/>
                      <w:szCs w:val="21"/>
                      <w:highlight w:val="none"/>
                      <w:lang w:val="en-US" w:eastAsia="zh-CN" w:bidi="ar-SA"/>
                    </w:rPr>
                  </w:pPr>
                </w:p>
              </w:tc>
              <w:tc>
                <w:tcPr>
                  <w:tcW w:w="555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theme="minorBidi"/>
                      <w:color w:val="auto"/>
                      <w:kern w:val="2"/>
                      <w:sz w:val="21"/>
                      <w:szCs w:val="21"/>
                      <w:highlight w:val="none"/>
                      <w:lang w:val="en-US" w:eastAsia="zh-CN" w:bidi="ar-SA"/>
                    </w:rPr>
                    <w:t>承担经济损失及法律责任有书面承诺得1分，未承诺的得0分。</w:t>
                  </w:r>
                </w:p>
              </w:tc>
              <w:tc>
                <w:tcPr>
                  <w:tcW w:w="726" w:type="dxa"/>
                  <w:tcBorders>
                    <w:top w:val="single" w:color="auto" w:sz="4" w:space="0"/>
                    <w:left w:val="nil"/>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theme="minorBidi"/>
                      <w:color w:val="auto"/>
                      <w:kern w:val="2"/>
                      <w:sz w:val="21"/>
                      <w:szCs w:val="21"/>
                      <w:highlight w:val="none"/>
                      <w:lang w:val="en-US" w:eastAsia="zh-CN" w:bidi="ar-SA"/>
                    </w:rPr>
                    <w:t>1</w:t>
                  </w:r>
                </w:p>
              </w:tc>
            </w:tr>
            <w:tr>
              <w:tblPrEx>
                <w:tblCellMar>
                  <w:top w:w="0" w:type="dxa"/>
                  <w:left w:w="108" w:type="dxa"/>
                  <w:bottom w:w="0" w:type="dxa"/>
                  <w:right w:w="108" w:type="dxa"/>
                </w:tblCellMar>
              </w:tblPrEx>
              <w:trPr>
                <w:trHeight w:val="1194" w:hRule="atLeast"/>
                <w:jc w:val="center"/>
              </w:trPr>
              <w:tc>
                <w:tcPr>
                  <w:tcW w:w="980" w:type="dxa"/>
                  <w:vMerge w:val="continue"/>
                  <w:tcBorders>
                    <w:top w:val="single" w:color="auto" w:sz="4" w:space="0"/>
                    <w:left w:val="single" w:color="auto" w:sz="4" w:space="0"/>
                    <w:right w:val="single" w:color="auto" w:sz="4" w:space="0"/>
                  </w:tcBorders>
                  <w:noWrap w:val="0"/>
                  <w:vAlign w:val="center"/>
                </w:tcPr>
                <w:p>
                  <w:pPr>
                    <w:pStyle w:val="6"/>
                    <w:keepNext w:val="0"/>
                    <w:keepLines w:val="0"/>
                    <w:pageBreakBefore w:val="0"/>
                    <w:kinsoku/>
                    <w:wordWrap/>
                    <w:overflowPunct/>
                    <w:topLinePunct w:val="0"/>
                    <w:autoSpaceDE/>
                    <w:autoSpaceDN/>
                    <w:bidi w:val="0"/>
                    <w:spacing w:line="240" w:lineRule="auto"/>
                    <w:textAlignment w:val="auto"/>
                    <w:rPr>
                      <w:rFonts w:hint="eastAsia" w:ascii="宋体" w:hAnsi="宋体" w:eastAsia="宋体" w:cstheme="minorBidi"/>
                      <w:color w:val="auto"/>
                      <w:kern w:val="2"/>
                      <w:sz w:val="21"/>
                      <w:szCs w:val="21"/>
                      <w:highlight w:val="none"/>
                      <w:lang w:val="en-US" w:eastAsia="zh-CN" w:bidi="ar-SA"/>
                    </w:rPr>
                  </w:pPr>
                </w:p>
              </w:tc>
              <w:tc>
                <w:tcPr>
                  <w:tcW w:w="1154" w:type="dxa"/>
                  <w:tcBorders>
                    <w:top w:val="single" w:color="auto" w:sz="4" w:space="0"/>
                    <w:left w:val="nil"/>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auto"/>
                    <w:jc w:val="left"/>
                    <w:textAlignment w:val="auto"/>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theme="minorBidi"/>
                      <w:color w:val="auto"/>
                      <w:kern w:val="2"/>
                      <w:sz w:val="21"/>
                      <w:szCs w:val="21"/>
                      <w:highlight w:val="none"/>
                      <w:lang w:val="en-US" w:eastAsia="zh-CN" w:bidi="ar-SA"/>
                    </w:rPr>
                    <w:t>合理化建议</w:t>
                  </w:r>
                </w:p>
              </w:tc>
              <w:tc>
                <w:tcPr>
                  <w:tcW w:w="5558"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auto"/>
                    <w:jc w:val="left"/>
                    <w:textAlignment w:val="auto"/>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theme="minorBidi"/>
                      <w:color w:val="auto"/>
                      <w:kern w:val="2"/>
                      <w:sz w:val="21"/>
                      <w:szCs w:val="21"/>
                      <w:highlight w:val="none"/>
                      <w:lang w:val="en-US" w:eastAsia="zh-CN" w:bidi="ar-SA"/>
                    </w:rPr>
                    <w:t>能结合项目实际情况提供合理化建议，充分考虑用户实际需求，内容详尽，合理可行的得3分；方案内容较详细，基本合理可行的得2分；方案内容一般，可行性一般的得1分，未提供的得0分。</w:t>
                  </w:r>
                </w:p>
              </w:tc>
              <w:tc>
                <w:tcPr>
                  <w:tcW w:w="726" w:type="dxa"/>
                  <w:tcBorders>
                    <w:top w:val="single" w:color="auto" w:sz="4" w:space="0"/>
                    <w:left w:val="nil"/>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theme="minorBidi"/>
                      <w:color w:val="auto"/>
                      <w:kern w:val="2"/>
                      <w:sz w:val="21"/>
                      <w:szCs w:val="21"/>
                      <w:highlight w:val="none"/>
                      <w:lang w:val="en-US" w:eastAsia="zh-CN" w:bidi="ar-SA"/>
                    </w:rPr>
                    <w:t>3</w:t>
                  </w:r>
                </w:p>
              </w:tc>
            </w:tr>
            <w:tr>
              <w:tblPrEx>
                <w:tblCellMar>
                  <w:top w:w="0" w:type="dxa"/>
                  <w:left w:w="108" w:type="dxa"/>
                  <w:bottom w:w="0" w:type="dxa"/>
                  <w:right w:w="108" w:type="dxa"/>
                </w:tblCellMar>
              </w:tblPrEx>
              <w:trPr>
                <w:trHeight w:val="894" w:hRule="atLeast"/>
                <w:jc w:val="center"/>
              </w:trPr>
              <w:tc>
                <w:tcPr>
                  <w:tcW w:w="980" w:type="dxa"/>
                  <w:tcBorders>
                    <w:top w:val="single" w:color="auto" w:sz="4" w:space="0"/>
                    <w:left w:val="single" w:color="auto" w:sz="4" w:space="0"/>
                    <w:right w:val="single" w:color="auto" w:sz="4" w:space="0"/>
                  </w:tcBorders>
                  <w:noWrap w:val="0"/>
                  <w:vAlign w:val="center"/>
                </w:tcPr>
                <w:p>
                  <w:pPr>
                    <w:snapToGrid w:val="0"/>
                    <w:jc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theme="minorBidi"/>
                      <w:color w:val="auto"/>
                      <w:kern w:val="2"/>
                      <w:sz w:val="21"/>
                      <w:szCs w:val="21"/>
                      <w:highlight w:val="none"/>
                      <w:lang w:val="en-US" w:eastAsia="zh-CN" w:bidi="ar-SA"/>
                    </w:rPr>
                    <w:t>价格部分（10分）</w:t>
                  </w:r>
                </w:p>
              </w:tc>
              <w:tc>
                <w:tcPr>
                  <w:tcW w:w="6712" w:type="dxa"/>
                  <w:gridSpan w:val="2"/>
                  <w:tcBorders>
                    <w:top w:val="single" w:color="auto" w:sz="4" w:space="0"/>
                    <w:left w:val="nil"/>
                    <w:right w:val="single" w:color="auto" w:sz="4" w:space="0"/>
                  </w:tcBorders>
                  <w:noWrap w:val="0"/>
                  <w:vAlign w:val="center"/>
                </w:tcPr>
                <w:p>
                  <w:pPr>
                    <w:snapToGrid w:val="0"/>
                    <w:jc w:val="left"/>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theme="minorBidi"/>
                      <w:color w:val="auto"/>
                      <w:kern w:val="2"/>
                      <w:sz w:val="21"/>
                      <w:szCs w:val="21"/>
                      <w:highlight w:val="none"/>
                      <w:lang w:val="en-US" w:eastAsia="zh-CN" w:bidi="ar-SA"/>
                    </w:rPr>
                    <w:t>价格分统一采用低价优先法计算，即满足磋商文件要求且最后报价最低的供应商的价格为磋商基准价，其价格分为满分。其他供应商的价格分统一按照下列公式计算：磋商报价得分=(磋商基准价／最后磋商报价)×10%×100分。</w:t>
                  </w:r>
                </w:p>
                <w:p>
                  <w:pPr>
                    <w:snapToGrid w:val="0"/>
                    <w:jc w:val="left"/>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theme="minorBidi"/>
                      <w:color w:val="auto"/>
                      <w:kern w:val="2"/>
                      <w:sz w:val="21"/>
                      <w:szCs w:val="21"/>
                      <w:highlight w:val="none"/>
                      <w:lang w:val="en-US" w:eastAsia="zh-CN" w:bidi="ar-SA"/>
                    </w:rPr>
                    <w:t>政府采购政策执行要求详见磋商文件第二章“供应商须知”</w:t>
                  </w:r>
                </w:p>
              </w:tc>
              <w:tc>
                <w:tcPr>
                  <w:tcW w:w="726" w:type="dxa"/>
                  <w:tcBorders>
                    <w:top w:val="single" w:color="auto" w:sz="4" w:space="0"/>
                    <w:left w:val="nil"/>
                    <w:bottom w:val="single" w:color="auto" w:sz="4" w:space="0"/>
                    <w:right w:val="single" w:color="auto" w:sz="4" w:space="0"/>
                  </w:tcBorders>
                  <w:noWrap w:val="0"/>
                  <w:vAlign w:val="center"/>
                </w:tcPr>
                <w:p>
                  <w:pPr>
                    <w:snapToGrid w:val="0"/>
                    <w:jc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theme="minorBidi"/>
                      <w:color w:val="auto"/>
                      <w:kern w:val="2"/>
                      <w:sz w:val="21"/>
                      <w:szCs w:val="21"/>
                      <w:highlight w:val="none"/>
                      <w:lang w:val="en-US" w:eastAsia="zh-CN" w:bidi="ar-SA"/>
                    </w:rPr>
                    <w:t>10</w:t>
                  </w:r>
                </w:p>
              </w:tc>
            </w:tr>
            <w:tr>
              <w:tblPrEx>
                <w:tblCellMar>
                  <w:top w:w="0" w:type="dxa"/>
                  <w:left w:w="108" w:type="dxa"/>
                  <w:bottom w:w="0" w:type="dxa"/>
                  <w:right w:w="108" w:type="dxa"/>
                </w:tblCellMar>
              </w:tblPrEx>
              <w:trPr>
                <w:trHeight w:val="712" w:hRule="atLeast"/>
                <w:jc w:val="center"/>
              </w:trPr>
              <w:tc>
                <w:tcPr>
                  <w:tcW w:w="7692" w:type="dxa"/>
                  <w:gridSpan w:val="3"/>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theme="minorBidi"/>
                      <w:color w:val="auto"/>
                      <w:kern w:val="2"/>
                      <w:sz w:val="21"/>
                      <w:szCs w:val="21"/>
                      <w:highlight w:val="none"/>
                      <w:lang w:val="en-US" w:eastAsia="zh-CN" w:bidi="ar-SA"/>
                    </w:rPr>
                    <w:t>总    分</w:t>
                  </w:r>
                </w:p>
              </w:tc>
              <w:tc>
                <w:tcPr>
                  <w:tcW w:w="726" w:type="dxa"/>
                  <w:tcBorders>
                    <w:top w:val="single" w:color="auto" w:sz="4" w:space="0"/>
                    <w:left w:val="nil"/>
                    <w:bottom w:val="single" w:color="auto" w:sz="4" w:space="0"/>
                    <w:right w:val="single" w:color="auto" w:sz="4" w:space="0"/>
                  </w:tcBorders>
                  <w:noWrap w:val="0"/>
                  <w:vAlign w:val="center"/>
                </w:tcPr>
                <w:p>
                  <w:pPr>
                    <w:snapToGrid w:val="0"/>
                    <w:jc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theme="minorBidi"/>
                      <w:color w:val="auto"/>
                      <w:kern w:val="2"/>
                      <w:sz w:val="21"/>
                      <w:szCs w:val="21"/>
                      <w:highlight w:val="none"/>
                      <w:lang w:val="en-US" w:eastAsia="zh-CN" w:bidi="ar-SA"/>
                    </w:rPr>
                    <w:t>100</w:t>
                  </w:r>
                </w:p>
              </w:tc>
            </w:tr>
          </w:tbl>
          <w:p>
            <w:pPr>
              <w:snapToGrid w:val="0"/>
              <w:jc w:val="left"/>
              <w:rPr>
                <w:rFonts w:ascii="宋体" w:hAnsi="宋体" w:eastAsia="宋体"/>
                <w:color w:val="auto"/>
                <w:szCs w:val="21"/>
                <w:highlight w:val="none"/>
              </w:rPr>
            </w:pPr>
            <w:r>
              <w:rPr>
                <w:rFonts w:hint="eastAsia" w:ascii="宋体" w:hAnsi="宋体" w:eastAsia="宋体"/>
                <w:color w:val="auto"/>
                <w:szCs w:val="21"/>
                <w:highlight w:val="none"/>
                <w:lang w:eastAsia="zh-CN"/>
              </w:rPr>
              <w:t>八</w:t>
            </w:r>
            <w:r>
              <w:rPr>
                <w:rFonts w:hint="eastAsia" w:ascii="宋体" w:hAnsi="宋体" w:eastAsia="宋体"/>
                <w:color w:val="auto"/>
                <w:szCs w:val="21"/>
                <w:highlight w:val="none"/>
              </w:rPr>
              <w:t>、其他项目资料</w:t>
            </w:r>
          </w:p>
          <w:p>
            <w:pPr>
              <w:snapToGrid w:val="0"/>
              <w:jc w:val="left"/>
              <w:rPr>
                <w:rFonts w:ascii="宋体" w:hAnsi="宋体" w:eastAsia="宋体"/>
                <w:color w:val="auto"/>
                <w:szCs w:val="21"/>
                <w:highlight w:val="none"/>
              </w:rPr>
            </w:pPr>
            <w:r>
              <w:rPr>
                <w:rFonts w:hint="eastAsia" w:ascii="宋体" w:hAnsi="宋体" w:eastAsia="宋体"/>
                <w:color w:val="auto"/>
                <w:szCs w:val="21"/>
                <w:highlight w:val="none"/>
                <w:lang w:val="en-US" w:eastAsia="zh-CN"/>
              </w:rPr>
              <w:t>/</w:t>
            </w:r>
            <w:r>
              <w:rPr>
                <w:rFonts w:hint="eastAsia" w:ascii="宋体" w:hAnsi="宋体" w:eastAsia="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70" w:hRule="atLeast"/>
          <w:jc w:val="center"/>
        </w:trPr>
        <w:tc>
          <w:tcPr>
            <w:tcW w:w="2123" w:type="dxa"/>
            <w:vAlign w:val="center"/>
          </w:tcPr>
          <w:p>
            <w:pPr>
              <w:snapToGrid w:val="0"/>
              <w:jc w:val="center"/>
              <w:rPr>
                <w:rFonts w:ascii="宋体" w:hAnsi="宋体" w:eastAsia="宋体"/>
                <w:color w:val="auto"/>
                <w:szCs w:val="21"/>
              </w:rPr>
            </w:pPr>
            <w:r>
              <w:rPr>
                <w:rFonts w:hint="eastAsia" w:ascii="宋体" w:hAnsi="宋体" w:eastAsia="宋体"/>
                <w:color w:val="auto"/>
                <w:szCs w:val="21"/>
              </w:rPr>
              <w:t>采购人经办人签字</w:t>
            </w:r>
          </w:p>
        </w:tc>
        <w:tc>
          <w:tcPr>
            <w:tcW w:w="2124" w:type="dxa"/>
            <w:vAlign w:val="center"/>
          </w:tcPr>
          <w:p>
            <w:pPr>
              <w:snapToGrid w:val="0"/>
              <w:jc w:val="center"/>
              <w:rPr>
                <w:rFonts w:ascii="宋体" w:hAnsi="宋体" w:eastAsia="宋体"/>
                <w:color w:val="auto"/>
                <w:szCs w:val="21"/>
              </w:rPr>
            </w:pPr>
          </w:p>
        </w:tc>
        <w:tc>
          <w:tcPr>
            <w:tcW w:w="2124" w:type="dxa"/>
            <w:vAlign w:val="center"/>
          </w:tcPr>
          <w:p>
            <w:pPr>
              <w:snapToGrid w:val="0"/>
              <w:jc w:val="center"/>
              <w:rPr>
                <w:rFonts w:ascii="宋体" w:hAnsi="宋体" w:eastAsia="宋体"/>
                <w:color w:val="auto"/>
                <w:szCs w:val="21"/>
              </w:rPr>
            </w:pPr>
            <w:r>
              <w:rPr>
                <w:rFonts w:hint="eastAsia" w:ascii="宋体" w:hAnsi="宋体" w:eastAsia="宋体"/>
                <w:color w:val="auto"/>
                <w:szCs w:val="21"/>
              </w:rPr>
              <w:t>采购人单位盖章</w:t>
            </w:r>
          </w:p>
        </w:tc>
        <w:tc>
          <w:tcPr>
            <w:tcW w:w="2728" w:type="dxa"/>
            <w:vAlign w:val="center"/>
          </w:tcPr>
          <w:p>
            <w:pPr>
              <w:snapToGrid w:val="0"/>
              <w:jc w:val="center"/>
              <w:rPr>
                <w:rFonts w:ascii="宋体" w:hAnsi="宋体" w:eastAsia="宋体"/>
                <w:color w:val="auto"/>
                <w:szCs w:val="21"/>
              </w:rPr>
            </w:pPr>
          </w:p>
        </w:tc>
      </w:tr>
    </w:tbl>
    <w:p>
      <w:pPr>
        <w:snapToGrid w:val="0"/>
        <w:spacing w:line="360" w:lineRule="auto"/>
        <w:rPr>
          <w:rFonts w:ascii="宋体" w:hAnsi="宋体" w:eastAsia="宋体"/>
          <w:sz w:val="24"/>
          <w:szCs w:val="28"/>
        </w:rPr>
      </w:pPr>
    </w:p>
    <w:sectPr>
      <w:pgSz w:w="11906" w:h="16838"/>
      <w:pgMar w:top="2155" w:right="1644" w:bottom="1418" w:left="175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等线">
    <w:altName w:val="Arial Unicode MS"/>
    <w:panose1 w:val="02010600030101010101"/>
    <w:charset w:val="86"/>
    <w:family w:val="auto"/>
    <w:pitch w:val="default"/>
    <w:sig w:usb0="00000000" w:usb1="00000000"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等线">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877A8F"/>
    <w:multiLevelType w:val="singleLevel"/>
    <w:tmpl w:val="44877A8F"/>
    <w:lvl w:ilvl="0" w:tentative="0">
      <w:start w:val="7"/>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Q5NzQ3MDFlYzMzMzgyNmMyYmNjNTI0YmJhZGJiNTAifQ=="/>
  </w:docVars>
  <w:rsids>
    <w:rsidRoot w:val="00A1105F"/>
    <w:rsid w:val="000265E7"/>
    <w:rsid w:val="00064949"/>
    <w:rsid w:val="00081C08"/>
    <w:rsid w:val="000962B1"/>
    <w:rsid w:val="000A6F0A"/>
    <w:rsid w:val="000B678A"/>
    <w:rsid w:val="000C7F88"/>
    <w:rsid w:val="00141EBE"/>
    <w:rsid w:val="00152DF8"/>
    <w:rsid w:val="001D7D08"/>
    <w:rsid w:val="00200293"/>
    <w:rsid w:val="002164ED"/>
    <w:rsid w:val="002203D6"/>
    <w:rsid w:val="00227007"/>
    <w:rsid w:val="00263FD9"/>
    <w:rsid w:val="00274543"/>
    <w:rsid w:val="00287D2B"/>
    <w:rsid w:val="00292E72"/>
    <w:rsid w:val="002E6952"/>
    <w:rsid w:val="0032196E"/>
    <w:rsid w:val="0032302F"/>
    <w:rsid w:val="0036528D"/>
    <w:rsid w:val="00381546"/>
    <w:rsid w:val="00386D0D"/>
    <w:rsid w:val="00387DFA"/>
    <w:rsid w:val="003A0B45"/>
    <w:rsid w:val="003B726F"/>
    <w:rsid w:val="003C1E17"/>
    <w:rsid w:val="003E2098"/>
    <w:rsid w:val="004003C0"/>
    <w:rsid w:val="00461E78"/>
    <w:rsid w:val="004A3BBA"/>
    <w:rsid w:val="004D22E0"/>
    <w:rsid w:val="004F7455"/>
    <w:rsid w:val="005003C3"/>
    <w:rsid w:val="00521563"/>
    <w:rsid w:val="0053295E"/>
    <w:rsid w:val="00542353"/>
    <w:rsid w:val="0056755F"/>
    <w:rsid w:val="00590143"/>
    <w:rsid w:val="005F1086"/>
    <w:rsid w:val="005F1FD3"/>
    <w:rsid w:val="006044B2"/>
    <w:rsid w:val="0060677B"/>
    <w:rsid w:val="00612FE1"/>
    <w:rsid w:val="00642E53"/>
    <w:rsid w:val="0064787C"/>
    <w:rsid w:val="00651340"/>
    <w:rsid w:val="00651624"/>
    <w:rsid w:val="00682C68"/>
    <w:rsid w:val="00684443"/>
    <w:rsid w:val="00697146"/>
    <w:rsid w:val="006A657A"/>
    <w:rsid w:val="006B1409"/>
    <w:rsid w:val="006D0CB5"/>
    <w:rsid w:val="00703AB3"/>
    <w:rsid w:val="00704992"/>
    <w:rsid w:val="00750890"/>
    <w:rsid w:val="00767779"/>
    <w:rsid w:val="007750AD"/>
    <w:rsid w:val="007B5A5A"/>
    <w:rsid w:val="007D2164"/>
    <w:rsid w:val="007F2A99"/>
    <w:rsid w:val="008140CB"/>
    <w:rsid w:val="00845563"/>
    <w:rsid w:val="008655E1"/>
    <w:rsid w:val="00872AE0"/>
    <w:rsid w:val="008B42DB"/>
    <w:rsid w:val="008C6E7C"/>
    <w:rsid w:val="008E312A"/>
    <w:rsid w:val="008E380D"/>
    <w:rsid w:val="008F593B"/>
    <w:rsid w:val="00901A21"/>
    <w:rsid w:val="00924700"/>
    <w:rsid w:val="00924FB8"/>
    <w:rsid w:val="009346BE"/>
    <w:rsid w:val="009505D3"/>
    <w:rsid w:val="00957F8D"/>
    <w:rsid w:val="009632CF"/>
    <w:rsid w:val="009978BD"/>
    <w:rsid w:val="009A6AA3"/>
    <w:rsid w:val="009D0E30"/>
    <w:rsid w:val="009D309C"/>
    <w:rsid w:val="009E425B"/>
    <w:rsid w:val="00A03A51"/>
    <w:rsid w:val="00A1105F"/>
    <w:rsid w:val="00A15F90"/>
    <w:rsid w:val="00A17BFD"/>
    <w:rsid w:val="00A25AC8"/>
    <w:rsid w:val="00A36AC1"/>
    <w:rsid w:val="00A74B03"/>
    <w:rsid w:val="00A958EC"/>
    <w:rsid w:val="00AB2111"/>
    <w:rsid w:val="00AD5106"/>
    <w:rsid w:val="00B34BD6"/>
    <w:rsid w:val="00BD7718"/>
    <w:rsid w:val="00C2674D"/>
    <w:rsid w:val="00C32722"/>
    <w:rsid w:val="00C646FD"/>
    <w:rsid w:val="00C75899"/>
    <w:rsid w:val="00C8347A"/>
    <w:rsid w:val="00C90888"/>
    <w:rsid w:val="00CF05DC"/>
    <w:rsid w:val="00CF5BA3"/>
    <w:rsid w:val="00D0077B"/>
    <w:rsid w:val="00D02AAF"/>
    <w:rsid w:val="00D110E2"/>
    <w:rsid w:val="00D2426C"/>
    <w:rsid w:val="00D817FC"/>
    <w:rsid w:val="00D86B94"/>
    <w:rsid w:val="00DA49A7"/>
    <w:rsid w:val="00DC0580"/>
    <w:rsid w:val="00DC7A83"/>
    <w:rsid w:val="00DF0CF5"/>
    <w:rsid w:val="00E32375"/>
    <w:rsid w:val="00E34A5F"/>
    <w:rsid w:val="00E44DBF"/>
    <w:rsid w:val="00E63DB9"/>
    <w:rsid w:val="00E741F7"/>
    <w:rsid w:val="00E74699"/>
    <w:rsid w:val="00E93660"/>
    <w:rsid w:val="00EC01C1"/>
    <w:rsid w:val="00EC277E"/>
    <w:rsid w:val="00ED37D0"/>
    <w:rsid w:val="00EF1021"/>
    <w:rsid w:val="00F2711E"/>
    <w:rsid w:val="00F46A46"/>
    <w:rsid w:val="00F46ECD"/>
    <w:rsid w:val="00F4758A"/>
    <w:rsid w:val="00F52829"/>
    <w:rsid w:val="00F74EDD"/>
    <w:rsid w:val="00FA2810"/>
    <w:rsid w:val="00FA6603"/>
    <w:rsid w:val="00FC3074"/>
    <w:rsid w:val="00FD7EE1"/>
    <w:rsid w:val="00FE71EB"/>
    <w:rsid w:val="07140900"/>
    <w:rsid w:val="07495B4C"/>
    <w:rsid w:val="1212726E"/>
    <w:rsid w:val="16CF0639"/>
    <w:rsid w:val="1B4109CE"/>
    <w:rsid w:val="1DE5705B"/>
    <w:rsid w:val="1E2307E2"/>
    <w:rsid w:val="1E4454D4"/>
    <w:rsid w:val="250C3DF9"/>
    <w:rsid w:val="25875559"/>
    <w:rsid w:val="276C4FA7"/>
    <w:rsid w:val="3A95473B"/>
    <w:rsid w:val="3AD87C8A"/>
    <w:rsid w:val="3D463C2D"/>
    <w:rsid w:val="43EF0D66"/>
    <w:rsid w:val="460F6714"/>
    <w:rsid w:val="4E357E58"/>
    <w:rsid w:val="4F407DD3"/>
    <w:rsid w:val="5036352F"/>
    <w:rsid w:val="5A961BCC"/>
    <w:rsid w:val="613A3445"/>
    <w:rsid w:val="614426F7"/>
    <w:rsid w:val="62AC2121"/>
    <w:rsid w:val="66584333"/>
    <w:rsid w:val="67FA220F"/>
    <w:rsid w:val="6CBE317C"/>
    <w:rsid w:val="6D182AC7"/>
    <w:rsid w:val="6EBC5044"/>
    <w:rsid w:val="71EF3DD8"/>
    <w:rsid w:val="73BF67C2"/>
    <w:rsid w:val="74131982"/>
    <w:rsid w:val="765079A0"/>
    <w:rsid w:val="7681585A"/>
    <w:rsid w:val="7A996FD7"/>
    <w:rsid w:val="7E7450C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0"/>
    <w:pPr>
      <w:keepLines/>
      <w:spacing w:before="120" w:beforeLines="50" w:line="520" w:lineRule="exact"/>
      <w:jc w:val="center"/>
      <w:outlineLvl w:val="0"/>
    </w:pPr>
    <w:rPr>
      <w:b/>
      <w:bCs/>
      <w:kern w:val="44"/>
      <w:sz w:val="32"/>
      <w:szCs w:val="32"/>
    </w:rPr>
  </w:style>
  <w:style w:type="paragraph" w:styleId="4">
    <w:name w:val="heading 2"/>
    <w:basedOn w:val="1"/>
    <w:next w:val="1"/>
    <w:link w:val="18"/>
    <w:qFormat/>
    <w:uiPriority w:val="0"/>
    <w:pPr>
      <w:keepNext/>
      <w:keepLines/>
      <w:spacing w:line="520" w:lineRule="exact"/>
      <w:jc w:val="center"/>
      <w:outlineLvl w:val="1"/>
    </w:pPr>
    <w:rPr>
      <w:rFonts w:ascii="宋体" w:hAnsi="宋体"/>
      <w:b/>
      <w:bCs/>
      <w:sz w:val="24"/>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spacing w:line="360" w:lineRule="auto"/>
      <w:ind w:left="420" w:firstLine="420"/>
    </w:pPr>
    <w:rPr>
      <w:szCs w:val="20"/>
    </w:rPr>
  </w:style>
  <w:style w:type="paragraph" w:styleId="5">
    <w:name w:val="Document Map"/>
    <w:basedOn w:val="1"/>
    <w:link w:val="17"/>
    <w:semiHidden/>
    <w:unhideWhenUsed/>
    <w:qFormat/>
    <w:uiPriority w:val="99"/>
    <w:rPr>
      <w:rFonts w:ascii="宋体" w:eastAsia="宋体"/>
      <w:sz w:val="18"/>
      <w:szCs w:val="18"/>
    </w:rPr>
  </w:style>
  <w:style w:type="paragraph" w:styleId="6">
    <w:name w:val="Body Text"/>
    <w:basedOn w:val="1"/>
    <w:next w:val="1"/>
    <w:qFormat/>
    <w:uiPriority w:val="0"/>
    <w:rPr>
      <w:sz w:val="24"/>
      <w:szCs w:val="24"/>
    </w:rPr>
  </w:style>
  <w:style w:type="paragraph" w:styleId="7">
    <w:name w:val="footer"/>
    <w:basedOn w:val="1"/>
    <w:link w:val="15"/>
    <w:unhideWhenUsed/>
    <w:qFormat/>
    <w:uiPriority w:val="99"/>
    <w:pPr>
      <w:tabs>
        <w:tab w:val="center" w:pos="4153"/>
        <w:tab w:val="right" w:pos="8306"/>
      </w:tabs>
      <w:snapToGrid w:val="0"/>
      <w:jc w:val="left"/>
    </w:pPr>
    <w:rPr>
      <w:sz w:val="18"/>
      <w:szCs w:val="18"/>
    </w:rPr>
  </w:style>
  <w:style w:type="paragraph" w:styleId="8">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99"/>
    <w:pPr>
      <w:widowControl/>
      <w:spacing w:before="100" w:beforeAutospacing="1" w:after="100" w:afterAutospacing="1"/>
      <w:jc w:val="left"/>
    </w:pPr>
    <w:rPr>
      <w:rFonts w:ascii="宋体" w:hAnsi="宋体" w:cs="宋体"/>
      <w:kern w:val="0"/>
      <w:sz w:val="24"/>
    </w:rPr>
  </w:style>
  <w:style w:type="table" w:styleId="11">
    <w:name w:val="Table Grid"/>
    <w:basedOn w:val="1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annotation reference"/>
    <w:semiHidden/>
    <w:qFormat/>
    <w:uiPriority w:val="99"/>
    <w:rPr>
      <w:sz w:val="21"/>
      <w:szCs w:val="21"/>
    </w:rPr>
  </w:style>
  <w:style w:type="character" w:customStyle="1" w:styleId="14">
    <w:name w:val="页眉 Char"/>
    <w:basedOn w:val="12"/>
    <w:link w:val="8"/>
    <w:qFormat/>
    <w:uiPriority w:val="99"/>
    <w:rPr>
      <w:sz w:val="18"/>
      <w:szCs w:val="18"/>
    </w:rPr>
  </w:style>
  <w:style w:type="character" w:customStyle="1" w:styleId="15">
    <w:name w:val="页脚 Char"/>
    <w:basedOn w:val="12"/>
    <w:link w:val="7"/>
    <w:qFormat/>
    <w:uiPriority w:val="99"/>
    <w:rPr>
      <w:sz w:val="18"/>
      <w:szCs w:val="18"/>
    </w:rPr>
  </w:style>
  <w:style w:type="paragraph" w:styleId="16">
    <w:name w:val="List Paragraph"/>
    <w:basedOn w:val="1"/>
    <w:qFormat/>
    <w:uiPriority w:val="34"/>
    <w:pPr>
      <w:ind w:firstLine="420" w:firstLineChars="200"/>
    </w:pPr>
  </w:style>
  <w:style w:type="character" w:customStyle="1" w:styleId="17">
    <w:name w:val="文档结构图 Char"/>
    <w:basedOn w:val="12"/>
    <w:link w:val="5"/>
    <w:semiHidden/>
    <w:qFormat/>
    <w:uiPriority w:val="99"/>
    <w:rPr>
      <w:rFonts w:ascii="宋体" w:eastAsia="宋体"/>
      <w:sz w:val="18"/>
      <w:szCs w:val="18"/>
    </w:rPr>
  </w:style>
  <w:style w:type="character" w:customStyle="1" w:styleId="18">
    <w:name w:val="标题 2 Char"/>
    <w:link w:val="4"/>
    <w:qFormat/>
    <w:uiPriority w:val="0"/>
    <w:rPr>
      <w:rFonts w:ascii="宋体" w:hAnsi="宋体"/>
      <w:b/>
      <w:bCs/>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5568</Words>
  <Characters>5644</Characters>
  <Lines>39</Lines>
  <Paragraphs>11</Paragraphs>
  <TotalTime>942</TotalTime>
  <ScaleCrop>false</ScaleCrop>
  <LinksUpToDate>false</LinksUpToDate>
  <CharactersWithSpaces>5651</CharactersWithSpaces>
  <Application>WPS Office_11.8.6.8811_F1E327BC-269C-435d-A152-05C5408002CA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2021-03-17T15:46:00Z</dcterms:created>
  <dc:creator>程 振华</dc:creator>
  <cp:lastModifiedBy>名字加载中...</cp:lastModifiedBy>
  <cp:lastPrinted>2021-12-28T02:04:00Z</cp:lastPrinted>
  <dcterms:modified xsi:type="dcterms:W3CDTF">2026-06-11T01:08:58Z</dcterms:modified>
  <cp:revision>260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2052-11.8.6.8811</vt:lpwstr>
  </property>
  <property fmtid="{D5CDD505-2E9C-101B-9397-08002B2CF9AE}" pid="3" name="ICV">
    <vt:lpwstr>DF752495509641DCA43DFE7C5F97F02C_13</vt:lpwstr>
  </property>
  <property fmtid="{D5CDD505-2E9C-101B-9397-08002B2CF9AE}" pid="4" name="KSOTemplateDocerSaveRecord">
    <vt:lpwstr>eyJoZGlkIjoiMjZiMzYxNTA1ZTRiYjcyNmRjYzlkNGNlZTAzODc4ZTkiLCJ1c2VySWQiOiIyNDc5NjU1MjgifQ==</vt:lpwstr>
  </property>
</Properties>
</file>