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tabs>
          <w:tab w:val="left" w:pos="1982"/>
        </w:tabs>
        <w:adjustRightInd w:val="0"/>
        <w:snapToGrid w:val="0"/>
        <w:spacing w:line="560" w:lineRule="exact"/>
        <w:ind w:firstLine="0"/>
        <w:jc w:val="center"/>
        <w:rPr>
          <w:rFonts w:ascii="方正小标宋简体" w:hAnsi="方正小标宋简体" w:eastAsia="方正小标宋简体" w:cs="方正小标宋简体"/>
          <w:sz w:val="44"/>
          <w:szCs w:val="44"/>
          <w:lang w:val="en-US" w:eastAsia="zh-CN"/>
        </w:rPr>
      </w:pPr>
      <w:bookmarkStart w:id="0" w:name="_Toc23233"/>
      <w:r>
        <w:rPr>
          <w:rFonts w:hint="eastAsia" w:ascii="方正小标宋简体" w:hAnsi="方正小标宋简体" w:eastAsia="方正小标宋简体" w:cs="方正小标宋简体"/>
          <w:sz w:val="44"/>
          <w:szCs w:val="44"/>
          <w:lang w:val="en-US" w:eastAsia="zh-CN"/>
        </w:rPr>
        <w:t>物业管理服务封闭式框架协议采购需求</w:t>
      </w:r>
    </w:p>
    <w:p>
      <w:pPr>
        <w:pStyle w:val="3"/>
        <w:numPr>
          <w:ilvl w:val="0"/>
          <w:numId w:val="1"/>
        </w:numPr>
        <w:spacing w:before="240" w:after="120"/>
        <w:ind w:left="643" w:hanging="643" w:hangingChars="200"/>
        <w:jc w:val="center"/>
        <w:rPr>
          <w:rFonts w:ascii="仿宋" w:hAnsi="仿宋" w:eastAsia="仿宋"/>
          <w:sz w:val="32"/>
          <w:szCs w:val="32"/>
        </w:rPr>
      </w:pPr>
      <w:r>
        <w:rPr>
          <w:rFonts w:hint="eastAsia" w:ascii="仿宋" w:hAnsi="仿宋" w:eastAsia="仿宋"/>
          <w:sz w:val="32"/>
          <w:szCs w:val="32"/>
          <w:lang w:val="en-US" w:eastAsia="zh-CN"/>
        </w:rPr>
        <w:t>资格要求</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1.满足《中华人民共和国政府采购法》第二十二条规定，即：</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（1）具有独立承担民事责任的能力；</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（2）具有良好的商业信誉和健全的财务会计制度；</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（3）具有履行合同所必需的设备和专业技术能力；</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（4）有依法缴纳税收和社会保障资金的良好记录；</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（5）参加政府采购活动前三年内，在经营活动中没有重大违法记录；</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（6）法律、行政法规规定的其他条件。</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2.单位负责人为同一人或者存在直接控股、管理关系的不同投标人，不得参加本项目同一合同项下的政府采购活动。</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3.为本采购项目提供整体设计、规范编制或者项目管理、监理、检测等服务的，不得再参加本项目的其他招标采购活动。</w:t>
      </w:r>
    </w:p>
    <w:p>
      <w:pPr>
        <w:widowControl/>
        <w:snapToGrid w:val="0"/>
        <w:spacing w:line="520" w:lineRule="exact"/>
        <w:ind w:firstLine="480" w:firstLineChars="200"/>
        <w:jc w:val="left"/>
        <w:rPr>
          <w:rFonts w:ascii="仿宋" w:hAnsi="仿宋" w:eastAsia="仿宋"/>
          <w:bCs/>
          <w:sz w:val="24"/>
          <w:szCs w:val="24"/>
        </w:rPr>
      </w:pPr>
      <w:r>
        <w:rPr>
          <w:rFonts w:hint="eastAsia" w:ascii="仿宋" w:hAnsi="仿宋" w:eastAsia="仿宋"/>
          <w:bCs/>
          <w:sz w:val="24"/>
          <w:szCs w:val="24"/>
        </w:rPr>
        <w:t>4.未被列入失信被执行人、重大税收违法案件当事人名单，未被列入政府采购严重违法失信行为记录名单。</w:t>
      </w:r>
    </w:p>
    <w:p>
      <w:pPr>
        <w:widowControl/>
        <w:snapToGrid w:val="0"/>
        <w:spacing w:line="520" w:lineRule="exact"/>
        <w:ind w:firstLine="480" w:firstLineChars="200"/>
        <w:jc w:val="left"/>
        <w:rPr>
          <w:rFonts w:hint="eastAsia" w:ascii="仿宋" w:hAnsi="仿宋" w:eastAsia="仿宋"/>
          <w:bCs/>
          <w:sz w:val="24"/>
          <w:szCs w:val="24"/>
          <w:lang w:eastAsia="zh-CN"/>
        </w:rPr>
      </w:pPr>
      <w:r>
        <w:rPr>
          <w:rFonts w:hint="eastAsia" w:ascii="仿宋" w:hAnsi="仿宋" w:eastAsia="仿宋"/>
          <w:bCs/>
          <w:sz w:val="24"/>
          <w:szCs w:val="24"/>
        </w:rPr>
        <w:t>5.落实政府采购政策需满足的资格要求：</w:t>
      </w:r>
      <w:r>
        <w:rPr>
          <w:rFonts w:hint="eastAsia" w:ascii="仿宋" w:hAnsi="仿宋" w:eastAsia="仿宋"/>
          <w:bCs/>
          <w:sz w:val="24"/>
          <w:szCs w:val="24"/>
          <w:lang w:eastAsia="zh-CN"/>
        </w:rPr>
        <w:t>无</w:t>
      </w:r>
    </w:p>
    <w:p>
      <w:pPr>
        <w:widowControl/>
        <w:snapToGrid w:val="0"/>
        <w:spacing w:line="520" w:lineRule="exact"/>
        <w:ind w:firstLine="480" w:firstLineChars="200"/>
        <w:jc w:val="left"/>
        <w:rPr>
          <w:rFonts w:hint="eastAsia" w:ascii="仿宋" w:hAnsi="仿宋" w:eastAsia="仿宋"/>
          <w:bCs/>
          <w:sz w:val="24"/>
          <w:szCs w:val="24"/>
          <w:highlight w:val="none"/>
          <w:lang w:eastAsia="zh-CN"/>
        </w:rPr>
      </w:pPr>
      <w:r>
        <w:rPr>
          <w:rFonts w:hint="eastAsia" w:ascii="仿宋" w:hAnsi="仿宋" w:eastAsia="仿宋"/>
          <w:bCs/>
          <w:sz w:val="24"/>
          <w:szCs w:val="24"/>
        </w:rPr>
        <w:t>6.本项目</w:t>
      </w:r>
      <w:r>
        <w:rPr>
          <w:rFonts w:hint="eastAsia" w:ascii="仿宋" w:hAnsi="仿宋" w:eastAsia="仿宋"/>
          <w:bCs/>
          <w:sz w:val="24"/>
          <w:szCs w:val="24"/>
          <w:highlight w:val="none"/>
        </w:rPr>
        <w:t>的特定资格要求：</w:t>
      </w:r>
      <w:r>
        <w:rPr>
          <w:rFonts w:hint="eastAsia" w:ascii="仿宋" w:hAnsi="仿宋" w:eastAsia="仿宋"/>
          <w:bCs/>
          <w:sz w:val="24"/>
          <w:szCs w:val="24"/>
          <w:highlight w:val="none"/>
          <w:lang w:val="en-US" w:eastAsia="zh-CN"/>
        </w:rPr>
        <w:t>无</w:t>
      </w:r>
      <w:r>
        <w:rPr>
          <w:rFonts w:hint="eastAsia" w:ascii="仿宋" w:hAnsi="仿宋" w:eastAsia="仿宋"/>
          <w:bCs/>
          <w:sz w:val="24"/>
          <w:szCs w:val="24"/>
          <w:highlight w:val="none"/>
          <w:lang w:eastAsia="zh-CN"/>
        </w:rPr>
        <w:br w:type="page"/>
      </w:r>
    </w:p>
    <w:p>
      <w:pPr>
        <w:pStyle w:val="3"/>
        <w:numPr>
          <w:ilvl w:val="0"/>
          <w:numId w:val="1"/>
        </w:numPr>
        <w:spacing w:before="240" w:after="120"/>
        <w:ind w:left="643" w:hanging="643" w:hangingChars="200"/>
        <w:jc w:val="center"/>
        <w:rPr>
          <w:rFonts w:ascii="仿宋" w:hAnsi="仿宋" w:eastAsia="仿宋"/>
          <w:sz w:val="32"/>
          <w:szCs w:val="32"/>
          <w:highlight w:val="none"/>
        </w:rPr>
      </w:pPr>
      <w:r>
        <w:rPr>
          <w:rFonts w:hint="eastAsia" w:ascii="仿宋" w:hAnsi="仿宋" w:eastAsia="仿宋"/>
          <w:sz w:val="32"/>
          <w:szCs w:val="32"/>
          <w:highlight w:val="none"/>
        </w:rPr>
        <w:t>项目服务要求</w:t>
      </w:r>
      <w:bookmarkEnd w:id="0"/>
    </w:p>
    <w:p>
      <w:pPr>
        <w:pStyle w:val="4"/>
        <w:numPr>
          <w:ilvl w:val="0"/>
          <w:numId w:val="2"/>
        </w:numPr>
        <w:spacing w:before="0" w:after="0" w:line="360" w:lineRule="auto"/>
        <w:ind w:left="616" w:hanging="616"/>
        <w:jc w:val="left"/>
        <w:rPr>
          <w:rFonts w:ascii="仿宋" w:hAnsi="仿宋" w:eastAsia="仿宋"/>
          <w:bCs w:val="0"/>
          <w:sz w:val="28"/>
          <w:szCs w:val="28"/>
          <w:highlight w:val="none"/>
          <w:lang w:val="zh-CN"/>
        </w:rPr>
      </w:pPr>
      <w:bookmarkStart w:id="1" w:name="_Toc26761"/>
      <w:bookmarkStart w:id="2" w:name="_Toc20494"/>
      <w:bookmarkStart w:id="3" w:name="_Toc24483"/>
      <w:bookmarkStart w:id="4" w:name="_Toc338065593"/>
      <w:bookmarkStart w:id="5" w:name="_Toc339378679"/>
      <w:r>
        <w:rPr>
          <w:rFonts w:hint="eastAsia" w:ascii="仿宋" w:hAnsi="仿宋" w:eastAsia="仿宋"/>
          <w:bCs w:val="0"/>
          <w:sz w:val="28"/>
          <w:szCs w:val="28"/>
          <w:highlight w:val="none"/>
          <w:lang w:val="zh-CN"/>
        </w:rPr>
        <w:t>项目概况</w:t>
      </w:r>
      <w:bookmarkEnd w:id="1"/>
      <w:bookmarkEnd w:id="2"/>
      <w:bookmarkEnd w:id="3"/>
    </w:p>
    <w:bookmarkEnd w:id="4"/>
    <w:bookmarkEnd w:id="5"/>
    <w:p>
      <w:pPr>
        <w:spacing w:line="360" w:lineRule="auto"/>
        <w:ind w:firstLine="480" w:firstLineChars="200"/>
        <w:rPr>
          <w:rFonts w:ascii="仿宋" w:hAnsi="仿宋" w:eastAsia="仿宋"/>
          <w:sz w:val="24"/>
          <w:szCs w:val="24"/>
          <w:highlight w:val="none"/>
        </w:rPr>
      </w:pPr>
      <w:bookmarkStart w:id="6" w:name="_Toc338065594"/>
      <w:bookmarkStart w:id="7" w:name="_Toc339378680"/>
      <w:r>
        <w:rPr>
          <w:rFonts w:hint="eastAsia" w:ascii="仿宋" w:hAnsi="仿宋" w:eastAsia="仿宋"/>
          <w:sz w:val="24"/>
          <w:szCs w:val="24"/>
          <w:highlight w:val="none"/>
        </w:rPr>
        <w:t>1.招标内容：</w:t>
      </w:r>
      <w:r>
        <w:rPr>
          <w:rFonts w:hint="eastAsia" w:ascii="仿宋" w:hAnsi="仿宋" w:eastAsia="仿宋"/>
          <w:sz w:val="24"/>
          <w:szCs w:val="24"/>
          <w:highlight w:val="none"/>
          <w:lang w:val="en-US" w:eastAsia="zh-CN"/>
        </w:rPr>
        <w:t>市直行政事业单位物业服务</w:t>
      </w:r>
      <w:r>
        <w:rPr>
          <w:rFonts w:hint="eastAsia" w:ascii="仿宋" w:hAnsi="仿宋" w:eastAsia="仿宋"/>
          <w:sz w:val="24"/>
          <w:szCs w:val="24"/>
          <w:highlight w:val="none"/>
        </w:rPr>
        <w:t>。</w:t>
      </w:r>
    </w:p>
    <w:p>
      <w:pPr>
        <w:spacing w:line="360" w:lineRule="auto"/>
        <w:ind w:firstLine="475" w:firstLineChars="198"/>
        <w:rPr>
          <w:rFonts w:ascii="仿宋" w:hAnsi="仿宋" w:eastAsia="仿宋" w:cs="Helvetica"/>
          <w:kern w:val="0"/>
          <w:sz w:val="24"/>
          <w:szCs w:val="24"/>
          <w:highlight w:val="none"/>
        </w:rPr>
      </w:pPr>
      <w:bookmarkStart w:id="8" w:name="_Toc12892"/>
      <w:bookmarkStart w:id="9" w:name="_Toc17050"/>
      <w:bookmarkStart w:id="10" w:name="_Toc20537"/>
      <w:r>
        <w:rPr>
          <w:rFonts w:hint="eastAsia" w:ascii="仿宋" w:hAnsi="仿宋" w:eastAsia="仿宋" w:cs="Helvetica"/>
          <w:kern w:val="0"/>
          <w:sz w:val="24"/>
          <w:szCs w:val="24"/>
          <w:highlight w:val="none"/>
        </w:rPr>
        <w:t>2.服务对象：市直采购人。</w:t>
      </w:r>
    </w:p>
    <w:p>
      <w:pPr>
        <w:spacing w:line="360" w:lineRule="auto"/>
        <w:ind w:firstLine="475" w:firstLineChars="198"/>
        <w:rPr>
          <w:rFonts w:ascii="仿宋" w:hAnsi="仿宋" w:eastAsia="仿宋" w:cs="Helvetica"/>
          <w:kern w:val="0"/>
          <w:sz w:val="24"/>
          <w:szCs w:val="24"/>
          <w:highlight w:val="none"/>
          <w:lang w:val="zh-CN"/>
        </w:rPr>
      </w:pPr>
      <w:r>
        <w:rPr>
          <w:rFonts w:hint="eastAsia" w:ascii="仿宋" w:hAnsi="仿宋" w:eastAsia="仿宋" w:cs="Helvetica"/>
          <w:kern w:val="0"/>
          <w:sz w:val="24"/>
          <w:szCs w:val="24"/>
          <w:highlight w:val="none"/>
        </w:rPr>
        <w:t>3.框架协议期限：框架协议签订之日起至2023年12月31日。</w:t>
      </w:r>
    </w:p>
    <w:p>
      <w:pPr>
        <w:pStyle w:val="4"/>
        <w:numPr>
          <w:ilvl w:val="0"/>
          <w:numId w:val="2"/>
        </w:numPr>
        <w:spacing w:before="0" w:after="0" w:line="360" w:lineRule="auto"/>
        <w:ind w:left="616" w:hanging="616"/>
        <w:jc w:val="left"/>
        <w:rPr>
          <w:rFonts w:ascii="仿宋" w:hAnsi="仿宋" w:eastAsia="仿宋"/>
          <w:sz w:val="24"/>
          <w:szCs w:val="20"/>
          <w:highlight w:val="none"/>
          <w:lang w:val="zh-CN"/>
        </w:rPr>
      </w:pPr>
      <w:r>
        <w:rPr>
          <w:rFonts w:ascii="仿宋" w:hAnsi="仿宋" w:eastAsia="仿宋"/>
          <w:bCs w:val="0"/>
          <w:sz w:val="28"/>
          <w:szCs w:val="28"/>
          <w:highlight w:val="none"/>
          <w:lang w:val="zh-CN"/>
        </w:rPr>
        <w:t>服务内容</w:t>
      </w:r>
      <w:bookmarkEnd w:id="8"/>
      <w:bookmarkEnd w:id="9"/>
      <w:bookmarkEnd w:id="10"/>
    </w:p>
    <w:p>
      <w:pPr>
        <w:pStyle w:val="17"/>
        <w:spacing w:line="360" w:lineRule="auto"/>
        <w:ind w:left="0" w:leftChars="0" w:firstLine="420" w:firstLineChars="175"/>
        <w:jc w:val="left"/>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本项目包括办公场所或其他公用场所保洁、安保、设备运行、门窗保养维护、保洁、绿化养护等管理及服务。</w:t>
      </w:r>
    </w:p>
    <w:bookmarkEnd w:id="6"/>
    <w:bookmarkEnd w:id="7"/>
    <w:p>
      <w:pPr>
        <w:pStyle w:val="4"/>
        <w:numPr>
          <w:ilvl w:val="0"/>
          <w:numId w:val="2"/>
        </w:numPr>
        <w:spacing w:before="0" w:after="0" w:line="360" w:lineRule="auto"/>
        <w:ind w:left="616" w:hanging="616"/>
        <w:jc w:val="left"/>
        <w:rPr>
          <w:rFonts w:ascii="仿宋" w:hAnsi="仿宋" w:eastAsia="仿宋"/>
          <w:bCs w:val="0"/>
          <w:sz w:val="28"/>
          <w:szCs w:val="28"/>
          <w:highlight w:val="none"/>
          <w:lang w:val="zh-CN"/>
        </w:rPr>
      </w:pPr>
      <w:bookmarkStart w:id="11" w:name="_Toc16979"/>
      <w:bookmarkStart w:id="12" w:name="_Toc16212"/>
      <w:bookmarkStart w:id="13" w:name="_Toc18213"/>
      <w:bookmarkStart w:id="14" w:name="_Toc20591"/>
      <w:bookmarkStart w:id="15" w:name="_Toc692"/>
      <w:r>
        <w:rPr>
          <w:rFonts w:hint="eastAsia" w:ascii="仿宋" w:hAnsi="仿宋" w:eastAsia="仿宋"/>
          <w:bCs w:val="0"/>
          <w:sz w:val="28"/>
          <w:szCs w:val="28"/>
          <w:highlight w:val="none"/>
          <w:lang w:val="zh-CN"/>
        </w:rPr>
        <w:t>服务要求</w:t>
      </w:r>
      <w:bookmarkEnd w:id="11"/>
      <w:bookmarkEnd w:id="12"/>
      <w:bookmarkEnd w:id="13"/>
      <w:bookmarkEnd w:id="14"/>
      <w:bookmarkEnd w:id="15"/>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（一）</w:t>
      </w:r>
      <w:r>
        <w:rPr>
          <w:rFonts w:hint="eastAsia" w:ascii="仿宋" w:hAnsi="仿宋" w:eastAsia="仿宋" w:cs="仿宋"/>
          <w:b/>
          <w:bCs/>
          <w:color w:val="auto"/>
          <w:sz w:val="24"/>
          <w:szCs w:val="24"/>
          <w:highlight w:val="none"/>
          <w:lang w:val="en-US" w:eastAsia="zh-CN"/>
        </w:rPr>
        <w:t>整体服务</w:t>
      </w:r>
    </w:p>
    <w:tbl>
      <w:tblPr>
        <w:tblStyle w:val="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9"/>
        <w:gridCol w:w="6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trPr>
        <w:tc>
          <w:tcPr>
            <w:tcW w:w="997" w:type="pct"/>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服务内容</w:t>
            </w:r>
          </w:p>
        </w:tc>
        <w:tc>
          <w:tcPr>
            <w:tcW w:w="4002" w:type="pct"/>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服务质量标准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99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项目管理</w:t>
            </w:r>
          </w:p>
        </w:tc>
        <w:tc>
          <w:tcPr>
            <w:tcW w:w="4002" w:type="pct"/>
            <w:tcBorders>
              <w:top w:val="single" w:color="auto" w:sz="4" w:space="0"/>
              <w:left w:val="single" w:color="auto" w:sz="4" w:space="0"/>
              <w:bottom w:val="single" w:color="auto" w:sz="4" w:space="0"/>
              <w:right w:val="single" w:color="auto" w:sz="4" w:space="0"/>
            </w:tcBorders>
          </w:tcPr>
          <w:p>
            <w:pPr>
              <w:ind w:right="-78" w:rightChars="-37"/>
              <w:jc w:val="left"/>
              <w:rPr>
                <w:rFonts w:ascii="仿宋" w:hAnsi="仿宋" w:eastAsia="仿宋"/>
                <w:sz w:val="24"/>
                <w:szCs w:val="24"/>
                <w:highlight w:val="none"/>
              </w:rPr>
            </w:pPr>
            <w:r>
              <w:rPr>
                <w:rFonts w:hint="eastAsia" w:ascii="仿宋" w:hAnsi="仿宋" w:eastAsia="仿宋"/>
                <w:sz w:val="24"/>
                <w:szCs w:val="24"/>
                <w:highlight w:val="none"/>
              </w:rPr>
              <w:t>（1）提供礼貌、热情、周到的服务，最大限度的满足采购人的服务要求。</w:t>
            </w:r>
          </w:p>
          <w:p>
            <w:pPr>
              <w:ind w:right="-78" w:rightChars="-37"/>
              <w:jc w:val="left"/>
              <w:rPr>
                <w:rFonts w:ascii="仿宋" w:hAnsi="仿宋" w:eastAsia="仿宋"/>
                <w:sz w:val="24"/>
                <w:szCs w:val="24"/>
                <w:highlight w:val="none"/>
              </w:rPr>
            </w:pPr>
            <w:r>
              <w:rPr>
                <w:rFonts w:hint="eastAsia" w:ascii="仿宋" w:hAnsi="仿宋" w:eastAsia="仿宋"/>
                <w:sz w:val="24"/>
                <w:szCs w:val="24"/>
                <w:highlight w:val="none"/>
              </w:rPr>
              <w:t>（2）积极主动与采购人联系，征求和听取不同部门的意见，不断改进工作方法、工作作风和服务理念，项目服务处理及时率达到100%。</w:t>
            </w:r>
          </w:p>
          <w:p>
            <w:pPr>
              <w:rPr>
                <w:rFonts w:hint="default" w:ascii="仿宋" w:hAnsi="仿宋" w:eastAsia="仿宋"/>
                <w:sz w:val="24"/>
                <w:szCs w:val="24"/>
                <w:highlight w:val="none"/>
                <w:lang w:val="en-US" w:eastAsia="zh-CN"/>
              </w:rPr>
            </w:pPr>
            <w:r>
              <w:rPr>
                <w:rFonts w:hint="eastAsia" w:ascii="仿宋" w:hAnsi="仿宋" w:eastAsia="仿宋"/>
                <w:sz w:val="24"/>
                <w:szCs w:val="24"/>
                <w:highlight w:val="none"/>
              </w:rPr>
              <w:t>（</w:t>
            </w:r>
            <w:r>
              <w:rPr>
                <w:rFonts w:hint="eastAsia" w:ascii="仿宋" w:hAnsi="仿宋" w:eastAsia="仿宋"/>
                <w:sz w:val="24"/>
                <w:szCs w:val="24"/>
                <w:highlight w:val="none"/>
                <w:lang w:val="en-US" w:eastAsia="zh-CN"/>
              </w:rPr>
              <w:t>3</w:t>
            </w:r>
            <w:r>
              <w:rPr>
                <w:rFonts w:hint="eastAsia" w:ascii="仿宋" w:hAnsi="仿宋" w:eastAsia="仿宋"/>
                <w:sz w:val="24"/>
                <w:szCs w:val="24"/>
                <w:highlight w:val="none"/>
              </w:rPr>
              <w:t>）积极配合采购人做好物业服务工作，保证服务项目保洁、 卫生、绿化养护、设备运行服务</w:t>
            </w:r>
            <w:r>
              <w:rPr>
                <w:rFonts w:hint="eastAsia" w:ascii="仿宋" w:hAnsi="仿宋" w:eastAsia="仿宋"/>
                <w:sz w:val="24"/>
                <w:szCs w:val="24"/>
                <w:highlight w:val="none"/>
                <w:lang w:val="en-US" w:eastAsia="zh-CN"/>
              </w:rPr>
              <w:t>达到采购人要求。</w:t>
            </w:r>
          </w:p>
          <w:p>
            <w:pPr>
              <w:rPr>
                <w:rFonts w:hint="default"/>
                <w:highlight w:val="none"/>
                <w:lang w:val="en-US" w:eastAsia="zh-CN"/>
              </w:rPr>
            </w:pPr>
            <w:r>
              <w:rPr>
                <w:rFonts w:hint="eastAsia" w:ascii="仿宋" w:hAnsi="仿宋" w:eastAsia="仿宋"/>
                <w:sz w:val="24"/>
                <w:szCs w:val="24"/>
                <w:highlight w:val="none"/>
              </w:rPr>
              <w:t>（</w:t>
            </w:r>
            <w:r>
              <w:rPr>
                <w:rFonts w:hint="eastAsia" w:ascii="仿宋" w:hAnsi="仿宋" w:eastAsia="仿宋"/>
                <w:sz w:val="24"/>
                <w:szCs w:val="24"/>
                <w:highlight w:val="none"/>
                <w:lang w:val="en-US" w:eastAsia="zh-CN"/>
              </w:rPr>
              <w:t>4</w:t>
            </w:r>
            <w:r>
              <w:rPr>
                <w:rFonts w:hint="eastAsia" w:ascii="仿宋" w:hAnsi="仿宋" w:eastAsia="仿宋"/>
                <w:sz w:val="24"/>
                <w:szCs w:val="24"/>
                <w:highlight w:val="none"/>
              </w:rPr>
              <w:t>）</w:t>
            </w:r>
            <w:r>
              <w:rPr>
                <w:rFonts w:hint="eastAsia" w:ascii="仿宋" w:hAnsi="仿宋" w:eastAsia="仿宋"/>
                <w:sz w:val="24"/>
                <w:szCs w:val="24"/>
                <w:highlight w:val="none"/>
                <w:lang w:val="en-US" w:eastAsia="zh-CN"/>
              </w:rPr>
              <w:t>对项目团队进行管理，保障服务人员按时到岗。</w:t>
            </w:r>
          </w:p>
          <w:p>
            <w:pPr>
              <w:rPr>
                <w:rFonts w:hint="eastAsia" w:ascii="仿宋" w:hAnsi="仿宋" w:eastAsia="仿宋" w:cs="仿宋"/>
                <w:color w:val="auto"/>
                <w:sz w:val="24"/>
                <w:szCs w:val="24"/>
                <w:highlight w:val="none"/>
                <w:lang w:eastAsia="zh-CN"/>
              </w:rPr>
            </w:pPr>
            <w:r>
              <w:rPr>
                <w:rFonts w:hint="eastAsia" w:ascii="仿宋" w:hAnsi="仿宋" w:eastAsia="仿宋"/>
                <w:sz w:val="24"/>
                <w:szCs w:val="24"/>
                <w:highlight w:val="none"/>
              </w:rPr>
              <w:t>（</w:t>
            </w:r>
            <w:r>
              <w:rPr>
                <w:rFonts w:hint="eastAsia" w:ascii="仿宋" w:hAnsi="仿宋" w:eastAsia="仿宋"/>
                <w:sz w:val="24"/>
                <w:szCs w:val="24"/>
                <w:highlight w:val="none"/>
                <w:lang w:val="en-US" w:eastAsia="zh-CN"/>
              </w:rPr>
              <w:t>5</w:t>
            </w:r>
            <w:r>
              <w:rPr>
                <w:rFonts w:hint="eastAsia" w:ascii="仿宋" w:hAnsi="仿宋" w:eastAsia="仿宋"/>
                <w:sz w:val="24"/>
                <w:szCs w:val="24"/>
                <w:highlight w:val="none"/>
              </w:rPr>
              <w:t>）</w:t>
            </w:r>
            <w:r>
              <w:rPr>
                <w:rFonts w:hint="eastAsia" w:ascii="仿宋" w:hAnsi="仿宋" w:eastAsia="仿宋"/>
                <w:sz w:val="24"/>
                <w:szCs w:val="24"/>
                <w:highlight w:val="none"/>
                <w:lang w:val="en-US" w:eastAsia="zh-CN"/>
              </w:rPr>
              <w:t>应对突发事件，冷静应对，妥善处理。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9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项目特定需求</w:t>
            </w:r>
          </w:p>
        </w:tc>
        <w:tc>
          <w:tcPr>
            <w:tcW w:w="400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完成采购人针对本单位项目特点提出的特定服务要求</w:t>
            </w:r>
          </w:p>
        </w:tc>
      </w:tr>
    </w:tbl>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lang w:eastAsia="zh-CN"/>
        </w:rPr>
        <w:t>）保洁服务</w:t>
      </w:r>
    </w:p>
    <w:tbl>
      <w:tblPr>
        <w:tblStyle w:val="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0"/>
        <w:gridCol w:w="6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trPr>
        <w:tc>
          <w:tcPr>
            <w:tcW w:w="1700"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服务内容</w:t>
            </w:r>
          </w:p>
        </w:tc>
        <w:tc>
          <w:tcPr>
            <w:tcW w:w="6820"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服务质量标准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办公区域环境维护</w:t>
            </w:r>
          </w:p>
        </w:tc>
        <w:tc>
          <w:tcPr>
            <w:tcW w:w="682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大厅、楼内公共通道：每日循环清洁。大厅地面保持干净无水渍，进出口整洁；公共通道门框、窗框、窗台、金属件表面光亮无尘无污渍；门窗玻璃干净无尘，透光性好；天花板无蛛网；灯具干净无积尘，空调风口干净无污迹；指示牌干净无污渍，指示醒目。</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（2）办公室：办公室内部每日清洁1次，地面、桌面干净，办公家具设备及门窗整洁，茶具清洁；其他办公室，定期清洁门窗、玻璃。</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（3）楼梯及楼梯间：每日清洁1次，梯步、扶手栏杆、防火门及闭门器表面干净无尘无污渍，防滑条（缝）干净，墙面、天花板无积尘、蛛网。</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（4）卫生间：每日循环保洁，地面干净，无污渍无积水；洁具洁净，无污渍；门窗、墙壁、隔断、玻璃、窗台表面干净，无污迹，</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（5）换气扇表面无积尘；</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（6）洗手台干净无污垢；保持空气流通，无明显异味。</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（7）电梯轿厢：每日循环清洁；轿厢内无污渍无粘贴物；灯具、操作指示板明亮；厢内地面干净无异味，电梯门槽内无垃圾无杂物。</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（8）电器、消防等设施设备：配电箱、设备机房、消防栓、报警器及开关插座等每周清洁2次，保证表面干净，无尘无污迹；监控摄像头、门警器等表面光亮，无尘无斑点。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卫生消杀</w:t>
            </w:r>
          </w:p>
        </w:tc>
        <w:tc>
          <w:tcPr>
            <w:tcW w:w="682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（1）公共卫生间、电梯轿厢</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垃圾收集容器至少每日消毒2次；公共区域根据实际需要进行消毒。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17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垃圾分类管理</w:t>
            </w:r>
          </w:p>
        </w:tc>
        <w:tc>
          <w:tcPr>
            <w:tcW w:w="682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垃圾按分类要求进行收集，做到日产日清，垃圾箱外侧表面清洁、内侧无残留物，无异味；化粪池做好清掏，保持常年干净、清洁， 无积水、无异味。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项目特定需求</w:t>
            </w:r>
          </w:p>
        </w:tc>
        <w:tc>
          <w:tcPr>
            <w:tcW w:w="682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完成采购人针对本单位项目特点提出的特定服务要求</w:t>
            </w:r>
          </w:p>
        </w:tc>
      </w:tr>
    </w:tbl>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lang w:eastAsia="zh-CN"/>
        </w:rPr>
        <w:t>）秩序维护</w:t>
      </w:r>
    </w:p>
    <w:tbl>
      <w:tblPr>
        <w:tblStyle w:val="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6"/>
        <w:gridCol w:w="6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trPr>
        <w:tc>
          <w:tcPr>
            <w:tcW w:w="1736"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服务内容</w:t>
            </w:r>
          </w:p>
        </w:tc>
        <w:tc>
          <w:tcPr>
            <w:tcW w:w="6783"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服务质量标准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3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办公秩序维护与门岗管理</w:t>
            </w:r>
          </w:p>
        </w:tc>
        <w:tc>
          <w:tcPr>
            <w:tcW w:w="6783"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（1）实行24小时全方位巡逻制度。巡逻路线按照规定路线图进行，每2小时巡逻一次。巡逻中发现问题和隐患及时上报整改，建立巡逻记录，认真登记巡逻情况。</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（2）防止闲杂人员进入，积极疏导群访人员。</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（3）对物品进出实施分类记录，大宗物品进出应进行审验，严防危险物品进入。</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（4）有效疏导进出车辆，保持出入畅通。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3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车辆秩序管理</w:t>
            </w:r>
          </w:p>
        </w:tc>
        <w:tc>
          <w:tcPr>
            <w:tcW w:w="6783"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（1）对进出车辆进行管理，维护交通秩序。</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（2）设置行车指示标识，规定行驶路线，指定停放区域，保证车辆有序通行、易于停放。及时纠正违规车辆，确保停车库秩序。</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（3）办公区内严禁骑行自行车（包含电动自行车），非机动车应定点停放。</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（4）发现车辆相撞和设备设施被损时，应立即向</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lang w:eastAsia="zh-CN"/>
              </w:rPr>
              <w:t>报告并联系相关部门妥善处理。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3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监控值守管理</w:t>
            </w:r>
          </w:p>
        </w:tc>
        <w:tc>
          <w:tcPr>
            <w:tcW w:w="6783"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（1）监控设施应24小时正常运行，保证对安全出入口、内部重点区域的安全监控，保持完整记录。</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（2）消防中控室实行24小时值班，值班人员应严格执行消防控制室管理有关规定。</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（3）监控中心收到火情、险情等报警信号及其他异常情况信号后，立即安排安保人员到场处理并报警，同时根据现场情况按预案对人员进行疏散。</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（4）监控资料至少保持90天（特殊要求除外）。严格管理监控资料，未经许可，严禁复制传播。</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（5）保持治安电话畅通，接听及时。</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（6）监控值守人员每班检查各项设施设备，监控系统设备出现无法自行修复的故障时，及时通知专业维保单位恢复正常。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3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安全管理</w:t>
            </w:r>
          </w:p>
        </w:tc>
        <w:tc>
          <w:tcPr>
            <w:tcW w:w="6783"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（1）建立健全安全生产规章制度，普及安全用电用气知识。</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制定办公区物业管理服务突发公共事件应急预案，每年应组织不少于2次的突发公共事件应急演练；当发生自然灾害、事故灾难、公共卫生事件或社会安全事件时，启动应急预案，全力配合有关部门单位采取相应措施，保障机关人身安全，减少财产损失。</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（3）做好义务消防队和微型消防站建设，定期对安防、消防系统的设施设备进行维护管理，提高本项目防御火灾和自防自救能力；建立灭火和应急疏散预案，定期开展消防安全培训和演练。</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建立消防安全责任制，明确各级岗位的消防安全职责；定期巡视、检查和维护消防设施，保证设施正常使用，保持消防通道畅通，对易燃易爆品设专人专区管理，并在明显位置设置警示标志；楼梯出入口、电梯口等醒目位置有提示火灾危险性警示标语、安全疏散示意图；消火栓和灭火器箱张贴消防设施器材使用方法。</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（5）合理安排巡查路线，排除不安全因素，防止被盗事件的发生，发现违规行为及时制止，发现异常情况立即通知相关部门并现场采取必要措施。</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（6）收到消防监控室指令后，巡查人员及时到达并采取相应措施。</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（7）做好各种安保器材使用、保养情况的检查、监督和记录，如有损坏，应立即报告并说明损坏原因。</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（8）做好雨雪、大风等恶劣天气应对，及时放置地面防滑设施、安全提示标牌等。</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（9）按国家或武汉市有关规定定期进行消防器材和消防电器检测。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3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项目特定需求</w:t>
            </w:r>
          </w:p>
        </w:tc>
        <w:tc>
          <w:tcPr>
            <w:tcW w:w="678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完成采购人针对本单位项目特点提出的特定服务要求</w:t>
            </w:r>
          </w:p>
        </w:tc>
      </w:tr>
    </w:tbl>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lang w:eastAsia="zh-CN"/>
        </w:rPr>
        <w:t>）设施设备运行维护</w:t>
      </w:r>
    </w:p>
    <w:tbl>
      <w:tblPr>
        <w:tblStyle w:val="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6"/>
        <w:gridCol w:w="6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trPr>
        <w:tc>
          <w:tcPr>
            <w:tcW w:w="1736"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服务内容</w:t>
            </w:r>
          </w:p>
        </w:tc>
        <w:tc>
          <w:tcPr>
            <w:tcW w:w="6783"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服务质量标准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3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设施设备运行管理</w:t>
            </w:r>
          </w:p>
        </w:tc>
        <w:tc>
          <w:tcPr>
            <w:tcW w:w="6783"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（1）建立相关管理制度，如设施设备安全运行、岗位职责、定期巡检、维护保养、维修档案等；制定相关应急预案。</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（2）定期对设施设备进行全面检查，开展隐患巡查排查和整改，确保设施设备运行良好。发现问题及时报告，安排专项修理，建立报修、维修和回访记录，零修合格率100%。</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配合专业维保公司做好巡检、维修、保养和紧急情况处置工作。由专业性机构进行维修养护的设备设施，物业公司应做好监督跟修，如实向采购人汇报维修情况；熟悉设备性能及数量，熟练操作，做好日常管理和操作演练。</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（4）制订并落实月度、季度、年度设施设备维修养护和采购计划及预算，建立物资领用记录和相关台账。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设备机房：每日至少清洁1次，机房整洁有序，室内无杂物；设有挡鼠板、鼠药盒或粘鼠板；在明显易取位置配备有符合规定的消防器材及专用工具，确保完好有效；设施设备标识标牌齐全；张贴或悬挂相关制度、证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（6）元旦、春节、五一、国庆等重大节假日前，组织进行一次安全巡检1次，发现问题及时处理，巡检记录齐全、完整。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3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特种设备-电梯维护</w:t>
            </w:r>
          </w:p>
        </w:tc>
        <w:tc>
          <w:tcPr>
            <w:tcW w:w="6783"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建立电梯运行管理、设备管理、安全管理制度，确保电梯按规定时间运行；</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电梯应经由资质的检测机构检验合格，并由专业资质维修保养单位进行定期保养， 每年进行安全检测并发放有效的《安全使用许可证》，在有效期内安全运行；</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有专业人员对电梯保养进行监督，并对电梯运行进行管理，做好日常电梯运行的巡检与记录。</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电梯在办公时段有效运行，电梯准确启动，运行平稳，停层准确。</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轿厢内、外按钮及灯具等配件保持完好维持轿厢整洁。</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电梯发生一般故障时，专业维修人员应在一小时能到达现场修理， 发生电梯困人或其他重大事件时，专业维修人员应在30 分钟内 到达现场进行抢修和处理。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3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特种设备-机械车库维护</w:t>
            </w:r>
          </w:p>
        </w:tc>
        <w:tc>
          <w:tcPr>
            <w:tcW w:w="6783"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由专业资质维修保养单位进行定期保养。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3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消防设施设备维护</w:t>
            </w:r>
          </w:p>
        </w:tc>
        <w:tc>
          <w:tcPr>
            <w:tcW w:w="6783"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由取得消防设施设备维护经营许可的专业维修保养单位来保养。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3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照明系统</w:t>
            </w:r>
          </w:p>
        </w:tc>
        <w:tc>
          <w:tcPr>
            <w:tcW w:w="6783"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（1）照明系统应定期检查维护巡检，遇有故障，及时处置，确保正常运行和安全运行。</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（2）值班人员定期将所有照明配电箱、插座箱检查1遍，开关及线路是否有过热，开关是否有异常声音等，发现问题立即解决，确保照明系统正常使用。</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（3）开关、灯具有损坏的必须当日解决。</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（4）室外照明每天巡查1遍，并按规定时间开关。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3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项目特定需求</w:t>
            </w:r>
          </w:p>
        </w:tc>
        <w:tc>
          <w:tcPr>
            <w:tcW w:w="678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完成采购人针对本单位项目特点提出的特定服务要求</w:t>
            </w:r>
          </w:p>
        </w:tc>
      </w:tr>
    </w:tbl>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lang w:eastAsia="zh-CN"/>
        </w:rPr>
        <w:t>）客户</w:t>
      </w:r>
      <w:r>
        <w:rPr>
          <w:rFonts w:hint="eastAsia" w:ascii="仿宋" w:hAnsi="仿宋" w:eastAsia="仿宋" w:cs="仿宋"/>
          <w:b/>
          <w:bCs/>
          <w:color w:val="auto"/>
          <w:sz w:val="24"/>
          <w:szCs w:val="24"/>
          <w:highlight w:val="none"/>
          <w:lang w:val="en-US" w:eastAsia="zh-CN"/>
        </w:rPr>
        <w:t>会务</w:t>
      </w:r>
      <w:r>
        <w:rPr>
          <w:rFonts w:hint="eastAsia" w:ascii="仿宋" w:hAnsi="仿宋" w:eastAsia="仿宋" w:cs="仿宋"/>
          <w:b/>
          <w:bCs/>
          <w:color w:val="auto"/>
          <w:sz w:val="24"/>
          <w:szCs w:val="24"/>
          <w:highlight w:val="none"/>
          <w:lang w:eastAsia="zh-CN"/>
        </w:rPr>
        <w:t>服务</w:t>
      </w:r>
    </w:p>
    <w:tbl>
      <w:tblPr>
        <w:tblStyle w:val="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6"/>
        <w:gridCol w:w="6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trPr>
        <w:tc>
          <w:tcPr>
            <w:tcW w:w="1736"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服务内容</w:t>
            </w:r>
          </w:p>
        </w:tc>
        <w:tc>
          <w:tcPr>
            <w:tcW w:w="6783"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服务质量标准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3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客户服务</w:t>
            </w:r>
          </w:p>
        </w:tc>
        <w:tc>
          <w:tcPr>
            <w:tcW w:w="6783"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（1）负责接待机关工作人员来访，实行一站式物业服务；开通24小时服务热线，及时有效的处理客户投诉、报修、服务预约和咨询，并认真填写相关记录跟踪落实相关事宜。</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（2）树立</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lang w:eastAsia="zh-CN"/>
              </w:rPr>
              <w:t>的意识，主动、不断了解</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lang w:eastAsia="zh-CN"/>
              </w:rPr>
              <w:t>的服务需求。</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（3）建立会议室预约登记、钥匙交接、值班制度和交接班制度；工作记录清晰、有效。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3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会务管理</w:t>
            </w:r>
          </w:p>
        </w:tc>
        <w:tc>
          <w:tcPr>
            <w:tcW w:w="6783"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按甲方要求搞好各类会议保障。</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会前提供会场筹备、布置服务。</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提供音响、话筒、灯光调试等服务。</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会议期间提供茶水服务的人员。</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会后提供会场清扫服务。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3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重大活动后勤保障</w:t>
            </w:r>
          </w:p>
        </w:tc>
        <w:tc>
          <w:tcPr>
            <w:tcW w:w="6783"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根据采购人重大活动安排，制定完备的服务工作流程、细则及服务工作计划并严格执行，保障重大活动的顺利进行。 活动接待及服务人员应仪表端庄、举止文明、知晓相关礼仪， 并经过专业培训。</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加强日常维护检查， 确保系统的完好；设备出现故障时， 需有应急预案，确保活动的正常进行。</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提供重大活动期间的安全警戒与秩序维护服务。</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提供重大活动的场地布置、礼仪接待服务。</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提供重大活动结束后清场服务。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3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项目特定需求</w:t>
            </w:r>
          </w:p>
        </w:tc>
        <w:tc>
          <w:tcPr>
            <w:tcW w:w="678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完成采购人针对本单位项目特点提出的特定服务要求</w:t>
            </w:r>
          </w:p>
        </w:tc>
      </w:tr>
    </w:tbl>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lang w:eastAsia="zh-CN"/>
        </w:rPr>
        <w:t>）绿化养护</w:t>
      </w:r>
    </w:p>
    <w:tbl>
      <w:tblPr>
        <w:tblStyle w:val="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8"/>
        <w:gridCol w:w="6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trPr>
        <w:tc>
          <w:tcPr>
            <w:tcW w:w="1748"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服务内容</w:t>
            </w:r>
          </w:p>
        </w:tc>
        <w:tc>
          <w:tcPr>
            <w:tcW w:w="6771"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服务质量标准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48" w:type="dxa"/>
            <w:tcBorders>
              <w:top w:val="single" w:color="auto" w:sz="4" w:space="0"/>
              <w:left w:val="single" w:color="auto" w:sz="4" w:space="0"/>
              <w:bottom w:val="single" w:color="auto" w:sz="4" w:space="0"/>
              <w:right w:val="single" w:color="auto" w:sz="4" w:space="0"/>
            </w:tcBorders>
            <w:vAlign w:val="top"/>
          </w:tcPr>
          <w:p>
            <w:pPr>
              <w:spacing w:line="245" w:lineRule="auto"/>
              <w:rPr>
                <w:rFonts w:ascii="Arial"/>
                <w:sz w:val="21"/>
                <w:highlight w:val="none"/>
              </w:rPr>
            </w:pPr>
          </w:p>
          <w:p>
            <w:pPr>
              <w:spacing w:line="245" w:lineRule="auto"/>
              <w:rPr>
                <w:rFonts w:ascii="Arial"/>
                <w:sz w:val="21"/>
                <w:highlight w:val="none"/>
              </w:rPr>
            </w:pPr>
          </w:p>
          <w:p>
            <w:pPr>
              <w:spacing w:line="245" w:lineRule="auto"/>
              <w:rPr>
                <w:rFonts w:ascii="Arial"/>
                <w:sz w:val="21"/>
                <w:highlight w:val="none"/>
              </w:rPr>
            </w:pPr>
          </w:p>
          <w:p>
            <w:pPr>
              <w:spacing w:line="245" w:lineRule="auto"/>
              <w:rPr>
                <w:rFonts w:ascii="Arial"/>
                <w:sz w:val="21"/>
                <w:highlight w:val="none"/>
              </w:rPr>
            </w:pPr>
          </w:p>
          <w:p>
            <w:pPr>
              <w:spacing w:before="69" w:line="221" w:lineRule="auto"/>
              <w:ind w:left="122" w:leftChars="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公共部位绿化养护</w:t>
            </w:r>
          </w:p>
        </w:tc>
        <w:tc>
          <w:tcPr>
            <w:tcW w:w="6771"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绿化区域进行除草、灌溉、施肥(每年2次及以上)、整形修剪、防治病虫害等；</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草坪保持常年翠绿， 无杂草、无干枯坏死和病虫侵害，基本无裸露土地；</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植株修剪及时， 做到枝叶紧密、圆整，无脱节、枯枝。防治、灭治病虫害， 主要病虫害发生率低于 5%，无倾斜、缺枝、空档； 绿篱生长造型正常， 颜色正常， 修剪及时，基本无死株和干死株， 有虫株率在 10%以下；</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清除花坛和花景的花蒂、黄叶、杂草、垃圾， 做好病虫害防治。花坛和花景做倒造型新颖、色彩鲜艳、植物长势好；</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绿化生产垃圾须清运；</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景观水池水面定期清理， 无枯枝树叶、水质清洁。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室内绿植租摆</w:t>
            </w:r>
          </w:p>
        </w:tc>
        <w:tc>
          <w:tcPr>
            <w:tcW w:w="677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制定完整的室内绿化摆设方案。确保采购人要求租摆的位置常年植物摆放， 定期更换， 特殊情况按需更换； 协助和监督室内绿化养护单位做好摆放和养护；</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绿色植物摆放要求搭配合理，美观大方；</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遇重要会议，门庭、过道等须更换新的植物花草摆放。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4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项目特定需求</w:t>
            </w:r>
          </w:p>
        </w:tc>
        <w:tc>
          <w:tcPr>
            <w:tcW w:w="6771"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完成采购人针对本单位项目特点提出的特定服务要求</w:t>
            </w:r>
          </w:p>
        </w:tc>
      </w:tr>
    </w:tbl>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七</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司梯</w:t>
      </w:r>
    </w:p>
    <w:tbl>
      <w:tblPr>
        <w:tblStyle w:val="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6"/>
        <w:gridCol w:w="6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trPr>
        <w:tc>
          <w:tcPr>
            <w:tcW w:w="1736"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服务内容</w:t>
            </w:r>
          </w:p>
        </w:tc>
        <w:tc>
          <w:tcPr>
            <w:tcW w:w="6783"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服务质量标准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3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司梯服务</w:t>
            </w:r>
          </w:p>
        </w:tc>
        <w:tc>
          <w:tcPr>
            <w:tcW w:w="678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对工作认真负责，热情为乘客服务，上班前不喝酒，有充足睡眠。保证电梯运行安全，负责乘用者安全上下乘降，防止推车和重物撞损。发现故障，及时向上级报告，严禁电梯带故障运行并在交接班记录本上做好记录。</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）做好交接班工作，认真看交班日志，了解上一班运行情况，</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）认真执行电梯安全操作规程。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3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项目特定需求</w:t>
            </w:r>
          </w:p>
        </w:tc>
        <w:tc>
          <w:tcPr>
            <w:tcW w:w="67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完成采购人针对本单位项目特点提出的特定服务要求</w:t>
            </w:r>
          </w:p>
        </w:tc>
      </w:tr>
    </w:tbl>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八</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其他服务</w:t>
      </w:r>
    </w:p>
    <w:tbl>
      <w:tblPr>
        <w:tblStyle w:val="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6"/>
        <w:gridCol w:w="6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1736"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服务内容</w:t>
            </w:r>
          </w:p>
        </w:tc>
        <w:tc>
          <w:tcPr>
            <w:tcW w:w="6784"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服务质量标准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3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项目特定需求</w:t>
            </w:r>
          </w:p>
        </w:tc>
        <w:tc>
          <w:tcPr>
            <w:tcW w:w="678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完成采购人针对本单位项目特点提出的特定服务要求</w:t>
            </w:r>
          </w:p>
        </w:tc>
      </w:tr>
    </w:tbl>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default" w:ascii="仿宋" w:hAnsi="仿宋" w:eastAsia="仿宋" w:cs="仿宋"/>
          <w:b/>
          <w:bCs/>
          <w:color w:val="auto"/>
          <w:sz w:val="24"/>
          <w:szCs w:val="24"/>
          <w:highlight w:val="none"/>
          <w:lang w:val="en-US" w:eastAsia="zh-CN"/>
        </w:rPr>
      </w:pPr>
      <w:bookmarkStart w:id="16" w:name="_Toc10974"/>
      <w:bookmarkStart w:id="17" w:name="_Toc26535"/>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九</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人员行为要求</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9"/>
        <w:gridCol w:w="930"/>
        <w:gridCol w:w="6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989" w:type="dxa"/>
            <w:gridSpan w:val="2"/>
            <w:shd w:val="clear" w:color="auto"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项目</w:t>
            </w:r>
          </w:p>
        </w:tc>
        <w:tc>
          <w:tcPr>
            <w:tcW w:w="6533" w:type="dxa"/>
            <w:shd w:val="clear" w:color="auto"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行为参考规范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restart"/>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仪容仪表</w:t>
            </w:r>
          </w:p>
        </w:tc>
        <w:tc>
          <w:tcPr>
            <w:tcW w:w="93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服饰着装</w:t>
            </w:r>
          </w:p>
        </w:tc>
        <w:tc>
          <w:tcPr>
            <w:tcW w:w="6533" w:type="dxa"/>
            <w:vAlign w:val="top"/>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1、上班时间必须穿工作服，工作服穿戴整齐整洁；</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2、上班统一佩戴工作牌，工作牌应端正地戴在左胸襟处；</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3、鞋袜穿戴整齐清洁， 非工作需要不允许打赤脚或穿雨鞋到处走。特殊工作完毕应在工作场所将鞋擦干净再走；</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4、非特殊情况不允许穿背心、短裤、拖鞋。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59" w:type="dxa"/>
            <w:vMerge w:val="continue"/>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p>
        </w:tc>
        <w:tc>
          <w:tcPr>
            <w:tcW w:w="93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须发</w:t>
            </w:r>
          </w:p>
        </w:tc>
        <w:tc>
          <w:tcPr>
            <w:tcW w:w="6533" w:type="dxa"/>
            <w:vAlign w:val="top"/>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1、女员工前发不遮眼， 不梳怪异发型；</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2、男员工不留长发，不留胡须；</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3、所有员工头发应保持整洁。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continue"/>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p>
        </w:tc>
        <w:tc>
          <w:tcPr>
            <w:tcW w:w="93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个人卫生</w:t>
            </w:r>
          </w:p>
        </w:tc>
        <w:tc>
          <w:tcPr>
            <w:tcW w:w="6533" w:type="dxa"/>
            <w:vAlign w:val="top"/>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1、保持手部干净，经常修剪指甲；</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2、员工应经常洗澡防汗臭，勤换衣服。衣服因工作而弄湿、弄脏后应换洗；</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3、上班前和上班期间应注意饮食， 保持口腔清洁、口气清新；</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4、保持眼部、耳部清洁；</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5、女员工应淡妆打扮， 不允许浓妆艳抹，不宜使用味浓的化妆品；</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6、每天上班前应注意检查自己的仪表， 必要时应到卫生间或工作间整理。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restart"/>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行为举止</w:t>
            </w:r>
          </w:p>
        </w:tc>
        <w:tc>
          <w:tcPr>
            <w:tcW w:w="93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服务态度</w:t>
            </w:r>
          </w:p>
        </w:tc>
        <w:tc>
          <w:tcPr>
            <w:tcW w:w="6533" w:type="dxa"/>
            <w:vAlign w:val="top"/>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1、对客人服务应面带笑容，和颜悦色， 热情主动，做到微笑服务；</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2、谦虚和悦接受客人的评价， 耐心倾听客人的投诉， 事后汇报。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continue"/>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p>
        </w:tc>
        <w:tc>
          <w:tcPr>
            <w:tcW w:w="93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行走姿态</w:t>
            </w:r>
          </w:p>
        </w:tc>
        <w:tc>
          <w:tcPr>
            <w:tcW w:w="6533" w:type="dxa"/>
            <w:vAlign w:val="top"/>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1、行走时不宜双手抱胸或背手走路；</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2、在工作场合与他人同行时， 不允许勾肩搭背， 不允许同行时嘻戏打闹；</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3、手拉货物行走时应注意前方行人或障碍物，尽量靠路右侧行走；</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4、与客户相遇时， 应主动点头示意。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continue"/>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p>
        </w:tc>
        <w:tc>
          <w:tcPr>
            <w:tcW w:w="93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坐立姿态</w:t>
            </w:r>
          </w:p>
        </w:tc>
        <w:tc>
          <w:tcPr>
            <w:tcW w:w="6533" w:type="dxa"/>
            <w:vAlign w:val="top"/>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入坐要轻缓，就坐时姿态要端正，上身要直， 腰部挺起， 双膝并拢，手自然放在双膝上，面带笑容；</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坐在椅子上不允许前俯后仰、摇腿跷脚或趴在工作台上或把脚放于工作台上；</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站立时姿态要端正， 上身要直， 人体重心要稳，腰部挺起，双手自然下坠，双脚并拢， 目光平视，面带笑容。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continue"/>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p>
        </w:tc>
        <w:tc>
          <w:tcPr>
            <w:tcW w:w="93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其他行为</w:t>
            </w:r>
          </w:p>
        </w:tc>
        <w:tc>
          <w:tcPr>
            <w:tcW w:w="6533" w:type="dxa"/>
            <w:vAlign w:val="top"/>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1、要注意个人形象，不允许随地吐痰， 乱扔果皮、纸屑；上班时间不允许吃零食，玩弄个人小物品或做与工作无关的事情；</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2、到公共、工作场所(或客户处) 进行工作时， 不允许乱翻乱摸，更不允许随意拿走公用的(或客户的) 东西；</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3、谈话时，手势不宜过多，幅度不宜太大。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59" w:type="dxa"/>
            <w:vMerge w:val="restart"/>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礼貌用语</w:t>
            </w:r>
          </w:p>
        </w:tc>
        <w:tc>
          <w:tcPr>
            <w:tcW w:w="930" w:type="dxa"/>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问候语</w:t>
            </w:r>
          </w:p>
        </w:tc>
        <w:tc>
          <w:tcPr>
            <w:tcW w:w="653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您好、早安、午安、早、早上好、下午好、晚上好、路上辛苦了。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59" w:type="dxa"/>
            <w:vMerge w:val="continue"/>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p>
        </w:tc>
        <w:tc>
          <w:tcPr>
            <w:tcW w:w="930" w:type="dxa"/>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欢迎语</w:t>
            </w:r>
          </w:p>
        </w:tc>
        <w:tc>
          <w:tcPr>
            <w:tcW w:w="653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欢迎光临、欢迎您来 XX 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59" w:type="dxa"/>
            <w:vMerge w:val="continue"/>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p>
        </w:tc>
        <w:tc>
          <w:tcPr>
            <w:tcW w:w="930" w:type="dxa"/>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祝贺语</w:t>
            </w:r>
          </w:p>
        </w:tc>
        <w:tc>
          <w:tcPr>
            <w:tcW w:w="653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祝您节日愉快、祝您新年快乐、祝您新春快乐。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59" w:type="dxa"/>
            <w:vMerge w:val="continue"/>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p>
        </w:tc>
        <w:tc>
          <w:tcPr>
            <w:tcW w:w="930" w:type="dxa"/>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告别语</w:t>
            </w:r>
          </w:p>
        </w:tc>
        <w:tc>
          <w:tcPr>
            <w:tcW w:w="653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再见、晚安、明天见、祝您一路平安。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59" w:type="dxa"/>
            <w:vMerge w:val="continue"/>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p>
        </w:tc>
        <w:tc>
          <w:tcPr>
            <w:tcW w:w="930" w:type="dxa"/>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道歉语</w:t>
            </w:r>
          </w:p>
        </w:tc>
        <w:tc>
          <w:tcPr>
            <w:tcW w:w="653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对不起、请原谅、打扰您了、失礼了。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59" w:type="dxa"/>
            <w:vMerge w:val="continue"/>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p>
        </w:tc>
        <w:tc>
          <w:tcPr>
            <w:tcW w:w="930" w:type="dxa"/>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道谢语</w:t>
            </w:r>
          </w:p>
        </w:tc>
        <w:tc>
          <w:tcPr>
            <w:tcW w:w="653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谢谢、非常感谢。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59" w:type="dxa"/>
            <w:vMerge w:val="continue"/>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p>
        </w:tc>
        <w:tc>
          <w:tcPr>
            <w:tcW w:w="930" w:type="dxa"/>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应答语</w:t>
            </w:r>
          </w:p>
        </w:tc>
        <w:tc>
          <w:tcPr>
            <w:tcW w:w="653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是的、好的、我明白了、谢谢您的好意、不要客气、没关系、这是我应该做的。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59" w:type="dxa"/>
            <w:vMerge w:val="continue"/>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p>
        </w:tc>
        <w:tc>
          <w:tcPr>
            <w:tcW w:w="930" w:type="dxa"/>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征询语</w:t>
            </w:r>
          </w:p>
        </w:tc>
        <w:tc>
          <w:tcPr>
            <w:tcW w:w="653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请问您有什么事？我能为您做什么吗？需要我帮您做什么吗？ 您有别的事吗？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59" w:type="dxa"/>
            <w:vMerge w:val="continue"/>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p>
        </w:tc>
        <w:tc>
          <w:tcPr>
            <w:tcW w:w="930" w:type="dxa"/>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请求语</w:t>
            </w:r>
          </w:p>
        </w:tc>
        <w:tc>
          <w:tcPr>
            <w:tcW w:w="653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请您协助我们……、请您……好吗？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59" w:type="dxa"/>
            <w:vMerge w:val="continue"/>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p>
        </w:tc>
        <w:tc>
          <w:tcPr>
            <w:tcW w:w="930" w:type="dxa"/>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商量语</w:t>
            </w:r>
          </w:p>
        </w:tc>
        <w:tc>
          <w:tcPr>
            <w:tcW w:w="653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……您看这样好不好？……您看这样可以吗？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59" w:type="dxa"/>
            <w:vMerge w:val="continue"/>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p>
        </w:tc>
        <w:tc>
          <w:tcPr>
            <w:tcW w:w="930" w:type="dxa"/>
            <w:vAlign w:val="top"/>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解释语</w:t>
            </w:r>
          </w:p>
        </w:tc>
        <w:tc>
          <w:tcPr>
            <w:tcW w:w="653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很抱歉，这种情况， 单位的规定是这样的。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59"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对来访人员</w:t>
            </w:r>
          </w:p>
        </w:tc>
        <w:tc>
          <w:tcPr>
            <w:tcW w:w="7463" w:type="dxa"/>
            <w:gridSpan w:val="2"/>
            <w:vAlign w:val="top"/>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 主动说：“您好，请问您找哪一位”或“我可以帮助您吗？ ”“请您出示证件。 ”(保安专用)</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 确认来访人要求后， 说“请稍等， 我帮您联系”与被访人联系后告诉来访人“他马上来， 请您先等一下， 好吗？”</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 当来访人员不理解或不愿意出示证件时，应说：  “对不起， 先生/小姐， 这是单位规定，请理解！”(保安专用)。</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 当来访人员忘记带证件必须进入区域时，应说：  “先生/小姐， 请稍候， 让我请示一下好吗？”</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 当确认来访人故意捣乱，耍横硬闯时， 应先说：  “对不起， 按单位的规定，没有证件不允许进入办公区，请配合我的工作。 ”</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 当来访人员出示证件时，应说：“谢谢您的配合。 ”</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 如果要找的人不在或不想见时，应礼貌地对对方说“对不起，他现在不在，您能留下卡片或口信吗？”</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 当来访人员离开时， 应礼貌地说“再见！”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59"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接听拨打电话</w:t>
            </w:r>
          </w:p>
        </w:tc>
        <w:tc>
          <w:tcPr>
            <w:tcW w:w="7463" w:type="dxa"/>
            <w:gridSpan w:val="2"/>
            <w:vAlign w:val="top"/>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 接听电话时应清晰应答：“您好，××单位。 ”</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 认真倾听对方的电话事由， 若需传呼他人，应请对方稍候，然后轻轻搁下电话，去传呼他人：如对方有公事相告时，应将对方要求逐条记录在《工作日记》内，并尽量详细回答。</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 通话完毕， 应说：“谢谢，再见！”语气平和，并在对方放下电话后再轻轻放下电话。</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 如接电话听不懂对方语言时， 应说：“对不起， 请您用普通话， 好吗？”或“不好意思， 请稍候， 我不会说当地话。 ”</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 中途若遇急事需暂时中断与对方通话时，应先征得对方的同意， 并表示感谢，恢复与对方通话时， 切勿忘记向对方致歉。</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 接听电话时，声调要自然清晰、柔和、亲切，音量要适宜，以免对方听不清楚。</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 拨打电话接通后，应首先向对方致以问候， 如：“您好”，并作自我介绍。使用敬语， 将要找的通话人姓名及要做的事交待清楚。</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 通话完毕时，应说：“谢谢， 再见。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59"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同乘电梯</w:t>
            </w:r>
          </w:p>
        </w:tc>
        <w:tc>
          <w:tcPr>
            <w:tcW w:w="7463" w:type="dxa"/>
            <w:gridSpan w:val="2"/>
            <w:vAlign w:val="top"/>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 主动按“开门”钮， 电梯到层时，应站在梯门边，一只手斜放在梯门上，以免梯门突然关闭，同时面带微笑地说“电梯来了，请进。 ” 顾客进 入电梯后再进电梯， 面向电梯门，按“关门”钮。</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 电梯停止梯门打开后，首先出去站立在梯门旁， 一只手斜放在梯门上，同时另一只手指向通道，面带微笑地说：“到了，请走好。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59"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项目特定要求</w:t>
            </w:r>
          </w:p>
        </w:tc>
        <w:tc>
          <w:tcPr>
            <w:tcW w:w="7463" w:type="dxa"/>
            <w:gridSpan w:val="2"/>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满足采购人针对本单位项目特点提出的特定服务要求</w:t>
            </w:r>
          </w:p>
        </w:tc>
      </w:tr>
    </w:tbl>
    <w:p>
      <w:pPr>
        <w:pStyle w:val="4"/>
        <w:numPr>
          <w:ilvl w:val="0"/>
          <w:numId w:val="2"/>
        </w:numPr>
        <w:spacing w:before="0" w:after="0" w:line="360" w:lineRule="auto"/>
        <w:ind w:left="616" w:hanging="616"/>
        <w:jc w:val="left"/>
        <w:rPr>
          <w:rFonts w:ascii="仿宋" w:hAnsi="仿宋" w:eastAsia="仿宋"/>
          <w:bCs w:val="0"/>
          <w:sz w:val="28"/>
          <w:szCs w:val="28"/>
          <w:lang w:val="zh-CN"/>
        </w:rPr>
      </w:pPr>
      <w:r>
        <w:rPr>
          <w:rFonts w:hint="eastAsia" w:ascii="仿宋" w:hAnsi="仿宋" w:eastAsia="仿宋"/>
          <w:bCs w:val="0"/>
          <w:sz w:val="28"/>
          <w:szCs w:val="28"/>
          <w:lang w:val="en-US" w:eastAsia="zh-CN"/>
        </w:rPr>
        <w:t>响应报价</w:t>
      </w:r>
      <w:bookmarkEnd w:id="16"/>
    </w:p>
    <w:p>
      <w:pPr>
        <w:numPr>
          <w:ilvl w:val="0"/>
          <w:numId w:val="3"/>
        </w:numPr>
        <w:spacing w:line="440" w:lineRule="exact"/>
        <w:ind w:firstLine="420" w:firstLineChars="175"/>
        <w:rPr>
          <w:rFonts w:hint="eastAsia" w:ascii="仿宋" w:hAnsi="仿宋" w:eastAsia="仿宋" w:cs="仿宋"/>
          <w:bCs/>
          <w:sz w:val="24"/>
          <w:szCs w:val="24"/>
          <w:lang w:val="en-US" w:eastAsia="zh-CN"/>
        </w:rPr>
      </w:pPr>
      <w:r>
        <w:rPr>
          <w:rFonts w:hint="eastAsia" w:ascii="仿宋" w:hAnsi="仿宋" w:eastAsia="仿宋" w:cs="仿宋"/>
          <w:color w:val="auto"/>
          <w:sz w:val="24"/>
          <w:szCs w:val="24"/>
          <w:highlight w:val="none"/>
          <w:lang w:eastAsia="zh-CN"/>
        </w:rPr>
        <w:t>供应商的报价将在定点服务期内作为采购人提供</w:t>
      </w:r>
      <w:r>
        <w:rPr>
          <w:rFonts w:hint="eastAsia" w:ascii="仿宋" w:hAnsi="仿宋" w:eastAsia="仿宋" w:cs="仿宋"/>
          <w:color w:val="auto"/>
          <w:sz w:val="24"/>
          <w:szCs w:val="24"/>
          <w:highlight w:val="none"/>
          <w:lang w:val="en-US" w:eastAsia="zh-CN"/>
        </w:rPr>
        <w:t>物业服务的</w:t>
      </w:r>
      <w:r>
        <w:rPr>
          <w:rFonts w:hint="eastAsia" w:ascii="仿宋" w:hAnsi="仿宋" w:eastAsia="仿宋" w:cs="仿宋"/>
          <w:b/>
          <w:bCs/>
          <w:color w:val="auto"/>
          <w:sz w:val="24"/>
          <w:szCs w:val="24"/>
          <w:highlight w:val="none"/>
          <w:lang w:eastAsia="zh-CN"/>
        </w:rPr>
        <w:t>最高限</w:t>
      </w:r>
      <w:r>
        <w:rPr>
          <w:rFonts w:hint="eastAsia" w:ascii="宋体" w:hAnsi="宋体" w:eastAsia="宋体" w:cs="宋体"/>
          <w:b/>
          <w:bCs/>
          <w:color w:val="auto"/>
          <w:sz w:val="24"/>
          <w:szCs w:val="24"/>
          <w:highlight w:val="none"/>
          <w:lang w:eastAsia="zh-CN"/>
        </w:rPr>
        <w:t>价。</w:t>
      </w:r>
    </w:p>
    <w:p>
      <w:pPr>
        <w:numPr>
          <w:ilvl w:val="0"/>
          <w:numId w:val="3"/>
        </w:numPr>
        <w:spacing w:line="440" w:lineRule="exact"/>
        <w:ind w:firstLine="420" w:firstLineChars="175"/>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w:t>
      </w:r>
      <w:r>
        <w:rPr>
          <w:rFonts w:hint="eastAsia" w:ascii="仿宋" w:hAnsi="仿宋" w:eastAsia="仿宋" w:cs="仿宋"/>
          <w:color w:val="auto"/>
          <w:sz w:val="24"/>
          <w:szCs w:val="24"/>
          <w:highlight w:val="none"/>
          <w:lang w:val="zh-CN" w:eastAsia="zh-CN"/>
        </w:rPr>
        <w:t>购需求</w:t>
      </w:r>
      <w:r>
        <w:rPr>
          <w:rFonts w:hint="eastAsia" w:ascii="仿宋" w:hAnsi="仿宋" w:eastAsia="仿宋" w:cs="仿宋"/>
          <w:color w:val="auto"/>
          <w:sz w:val="24"/>
          <w:szCs w:val="24"/>
          <w:highlight w:val="none"/>
          <w:lang w:val="en-US" w:eastAsia="zh-CN"/>
        </w:rPr>
        <w:t>附件1</w:t>
      </w:r>
      <w:r>
        <w:rPr>
          <w:rFonts w:hint="eastAsia" w:ascii="仿宋" w:hAnsi="仿宋" w:eastAsia="仿宋" w:cs="仿宋"/>
          <w:color w:val="auto"/>
          <w:sz w:val="24"/>
          <w:szCs w:val="24"/>
          <w:highlight w:val="none"/>
          <w:lang w:val="zh-CN" w:eastAsia="zh-CN"/>
        </w:rPr>
        <w:t>中规定了</w:t>
      </w:r>
      <w:r>
        <w:rPr>
          <w:rFonts w:hint="eastAsia" w:ascii="仿宋" w:hAnsi="仿宋" w:eastAsia="仿宋" w:cs="仿宋"/>
          <w:color w:val="auto"/>
          <w:sz w:val="24"/>
          <w:szCs w:val="24"/>
          <w:highlight w:val="none"/>
          <w:lang w:val="en-US" w:eastAsia="zh-CN"/>
        </w:rPr>
        <w:t>各项人员的最高限价，供应商按照附件1中的人员最高限价的折扣进行报价。例如在最高限价的基础上打八五折，则折扣填写85.000%，折扣最高不得超过100%，否则</w:t>
      </w:r>
      <w:r>
        <w:rPr>
          <w:rFonts w:hint="eastAsia" w:ascii="仿宋" w:hAnsi="仿宋" w:eastAsia="仿宋" w:cs="仿宋"/>
          <w:b/>
          <w:bCs/>
          <w:color w:val="auto"/>
          <w:sz w:val="24"/>
          <w:szCs w:val="24"/>
          <w:highlight w:val="none"/>
          <w:lang w:val="en-US" w:eastAsia="zh-CN"/>
        </w:rPr>
        <w:t>按无效投标处理</w:t>
      </w:r>
      <w:r>
        <w:rPr>
          <w:rFonts w:hint="eastAsia" w:ascii="仿宋" w:hAnsi="仿宋" w:eastAsia="仿宋" w:cs="仿宋"/>
          <w:color w:val="auto"/>
          <w:sz w:val="24"/>
          <w:szCs w:val="24"/>
          <w:highlight w:val="none"/>
          <w:lang w:val="en-US" w:eastAsia="zh-CN"/>
        </w:rPr>
        <w:t>。</w:t>
      </w:r>
    </w:p>
    <w:p>
      <w:pPr>
        <w:numPr>
          <w:ilvl w:val="0"/>
          <w:numId w:val="3"/>
        </w:numPr>
        <w:spacing w:line="440" w:lineRule="exact"/>
        <w:ind w:firstLine="420" w:firstLineChars="175"/>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需填写管理费率，其中包含耗材、投入设备维护、投入人员服装、节假日加班费等，服务费根据各项目，按照计算公式（（服务人员月工资×拟投入人员数量）×服务费取费比率）据实结算，管理费率不得超过20%</w:t>
      </w:r>
      <w:r>
        <w:rPr>
          <w:rFonts w:hint="eastAsia"/>
          <w:lang w:eastAsia="zh-CN"/>
        </w:rPr>
        <w:t>，</w:t>
      </w:r>
      <w:r>
        <w:rPr>
          <w:rFonts w:hint="eastAsia" w:ascii="仿宋" w:hAnsi="仿宋" w:eastAsia="仿宋" w:cs="仿宋"/>
          <w:b/>
          <w:bCs/>
          <w:color w:val="auto"/>
          <w:sz w:val="24"/>
          <w:szCs w:val="24"/>
          <w:highlight w:val="none"/>
          <w:lang w:val="en-US" w:eastAsia="zh-CN"/>
        </w:rPr>
        <w:t>超过按无效投标处理</w:t>
      </w:r>
      <w:r>
        <w:rPr>
          <w:rFonts w:hint="eastAsia" w:ascii="仿宋" w:hAnsi="仿宋" w:eastAsia="仿宋" w:cs="仿宋"/>
          <w:color w:val="auto"/>
          <w:sz w:val="24"/>
          <w:szCs w:val="24"/>
          <w:highlight w:val="none"/>
          <w:lang w:val="en-US" w:eastAsia="zh-CN"/>
        </w:rPr>
        <w:t>。</w:t>
      </w:r>
    </w:p>
    <w:p>
      <w:pPr>
        <w:numPr>
          <w:ilvl w:val="0"/>
          <w:numId w:val="3"/>
        </w:numPr>
        <w:spacing w:line="440" w:lineRule="exact"/>
        <w:ind w:firstLine="422" w:firstLineChars="175"/>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本项目采用价格优先法进行评审，且淘汰率为20%</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bCs/>
          <w:color w:val="auto"/>
          <w:sz w:val="24"/>
          <w:szCs w:val="24"/>
          <w:highlight w:val="none"/>
          <w:lang w:val="en-US" w:eastAsia="zh-CN"/>
        </w:rPr>
        <w:t>将供应商所报的人员最高限价折扣（执行政策优惠后）由小到大排序，按淘汰率淘汰供应商。若按淘汰率得出的拟淘汰供应商名次存在并列，按以下方式决定拟淘汰供应商排序，并取排名靠后的相应家数的供应商予以淘汰：</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①比较供应商所报的管理费率，管理费率由低到高的顺序排序，确定淘汰供应商；</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②比较供应商承诺的临时调派人手到岗时间，到岗时间由快到慢的顺序排序，确定淘汰供应商；</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③前述方式仍不能确定拟淘汰供应商排序的，由评审小组采取随机抽取方式确定拟淘汰供应商排序；</w:t>
      </w:r>
    </w:p>
    <w:p>
      <w:pPr>
        <w:pStyle w:val="2"/>
        <w:tabs>
          <w:tab w:val="left" w:pos="3141"/>
        </w:tabs>
        <w:rPr>
          <w:rFonts w:hint="eastAsia"/>
          <w:lang w:val="en-US" w:eastAsia="zh-CN"/>
        </w:rPr>
      </w:pPr>
      <w:r>
        <w:rPr>
          <w:rFonts w:hint="eastAsia"/>
          <w:lang w:val="en-US" w:eastAsia="zh-CN"/>
        </w:rPr>
        <w:tab/>
      </w:r>
    </w:p>
    <w:p>
      <w:pPr>
        <w:rPr>
          <w:rFonts w:hint="eastAsia"/>
          <w:lang w:val="en-US" w:eastAsia="zh-CN"/>
        </w:rPr>
      </w:pPr>
      <w:r>
        <w:rPr>
          <w:rFonts w:hint="eastAsia"/>
          <w:lang w:val="en-US" w:eastAsia="zh-CN"/>
        </w:rPr>
        <w:br w:type="page"/>
      </w:r>
    </w:p>
    <w:p>
      <w:pPr>
        <w:pStyle w:val="2"/>
        <w:tabs>
          <w:tab w:val="left" w:pos="3141"/>
        </w:tabs>
        <w:jc w:val="center"/>
        <w:rPr>
          <w:rFonts w:hint="default"/>
          <w:lang w:val="en-US" w:eastAsia="zh-CN"/>
        </w:rPr>
      </w:pPr>
      <w:r>
        <w:rPr>
          <w:rFonts w:hint="eastAsia" w:ascii="仿宋" w:hAnsi="仿宋" w:eastAsia="仿宋" w:cs="仿宋"/>
          <w:b/>
          <w:bCs/>
          <w:color w:val="auto"/>
          <w:sz w:val="24"/>
          <w:szCs w:val="24"/>
          <w:highlight w:val="none"/>
          <w:lang w:val="en-US" w:eastAsia="zh-CN"/>
        </w:rPr>
        <w:t>附件1</w:t>
      </w:r>
    </w:p>
    <w:tbl>
      <w:tblPr>
        <w:tblStyle w:val="12"/>
        <w:tblW w:w="5148" w:type="pct"/>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9"/>
        <w:gridCol w:w="1264"/>
        <w:gridCol w:w="3724"/>
        <w:gridCol w:w="1625"/>
        <w:gridCol w:w="12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512" w:type="pct"/>
            <w:shd w:val="clear" w:color="000000"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序号</w:t>
            </w:r>
          </w:p>
        </w:tc>
        <w:tc>
          <w:tcPr>
            <w:tcW w:w="720" w:type="pct"/>
            <w:shd w:val="clear" w:color="000000"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人员岗位</w:t>
            </w:r>
          </w:p>
        </w:tc>
        <w:tc>
          <w:tcPr>
            <w:tcW w:w="2122" w:type="pct"/>
            <w:shd w:val="clear" w:color="000000"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工作职责</w:t>
            </w:r>
          </w:p>
        </w:tc>
        <w:tc>
          <w:tcPr>
            <w:tcW w:w="925" w:type="pct"/>
            <w:shd w:val="clear" w:color="000000" w:fill="D7D7D7" w:themeFill="background1" w:themeFillShade="D8"/>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最高限价（单位：万元/月）</w:t>
            </w:r>
          </w:p>
        </w:tc>
        <w:tc>
          <w:tcPr>
            <w:tcW w:w="719" w:type="pct"/>
            <w:shd w:val="clear" w:color="000000" w:fill="D7D7D7" w:themeFill="background1" w:themeFillShade="D8"/>
            <w:vAlign w:val="center"/>
          </w:tcPr>
          <w:p>
            <w:pPr>
              <w:widowControl/>
              <w:jc w:val="center"/>
              <w:rPr>
                <w:rFonts w:hint="eastAsia" w:ascii="黑体" w:hAnsi="黑体" w:eastAsia="黑体" w:cs="黑体"/>
                <w:color w:val="000000"/>
                <w:kern w:val="0"/>
                <w:sz w:val="24"/>
                <w:szCs w:val="24"/>
                <w:highlight w:val="none"/>
                <w:lang w:val="en-US" w:eastAsia="zh-CN"/>
              </w:rPr>
            </w:pPr>
            <w:r>
              <w:rPr>
                <w:rFonts w:hint="eastAsia" w:ascii="黑体" w:hAnsi="黑体" w:eastAsia="黑体" w:cs="黑体"/>
                <w:color w:val="000000"/>
                <w:kern w:val="0"/>
                <w:sz w:val="24"/>
                <w:szCs w:val="24"/>
                <w:highlight w:val="none"/>
                <w:lang w:val="en-US" w:eastAsia="zh-CN"/>
              </w:rPr>
              <w:t>报价</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黑体" w:hAnsi="黑体" w:eastAsia="黑体" w:cs="黑体"/>
                <w:color w:val="000000"/>
                <w:kern w:val="0"/>
                <w:sz w:val="24"/>
                <w:szCs w:val="24"/>
                <w:highlight w:val="none"/>
                <w:lang w:val="en-US" w:eastAsia="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51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w:t>
            </w:r>
          </w:p>
        </w:tc>
        <w:tc>
          <w:tcPr>
            <w:tcW w:w="72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项目经理</w:t>
            </w:r>
          </w:p>
        </w:tc>
        <w:tc>
          <w:tcPr>
            <w:tcW w:w="212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统筹管理服务团队，完成采购人交代的工作任务。</w:t>
            </w:r>
          </w:p>
        </w:tc>
        <w:tc>
          <w:tcPr>
            <w:tcW w:w="925" w:type="pct"/>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1.00</w:t>
            </w:r>
          </w:p>
        </w:tc>
        <w:tc>
          <w:tcPr>
            <w:tcW w:w="719" w:type="pct"/>
            <w:vMerge w:val="restart"/>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_GB2312" w:hAnsi="仿宋_GB2312" w:eastAsia="仿宋_GB2312" w:cs="仿宋_GB2312"/>
                <w:color w:val="000000"/>
                <w:kern w:val="0"/>
                <w:sz w:val="22"/>
                <w:szCs w:val="22"/>
                <w:highlight w:val="none"/>
                <w:lang w:val="en-US" w:eastAsia="zh-CN"/>
              </w:rPr>
              <w:t>（报价至小数点后三位数或以上）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51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w:t>
            </w:r>
          </w:p>
        </w:tc>
        <w:tc>
          <w:tcPr>
            <w:tcW w:w="72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保洁人员</w:t>
            </w:r>
          </w:p>
        </w:tc>
        <w:tc>
          <w:tcPr>
            <w:tcW w:w="212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负责公共区域环境卫生，保证干净整洁无污迹。</w:t>
            </w:r>
          </w:p>
        </w:tc>
        <w:tc>
          <w:tcPr>
            <w:tcW w:w="925" w:type="pct"/>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0.60</w:t>
            </w:r>
          </w:p>
        </w:tc>
        <w:tc>
          <w:tcPr>
            <w:tcW w:w="719" w:type="pct"/>
            <w:vMerge w:val="continue"/>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51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w:t>
            </w:r>
          </w:p>
        </w:tc>
        <w:tc>
          <w:tcPr>
            <w:tcW w:w="72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保安人员</w:t>
            </w:r>
          </w:p>
        </w:tc>
        <w:tc>
          <w:tcPr>
            <w:tcW w:w="212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负责所辖区域消防、安防、监控、公共秩序的维护、人员、物品出入及办公楼范围内车辆出入、车辆停放管理工作，对消防、安防系统有关设备（施）的检查、维护。</w:t>
            </w:r>
          </w:p>
        </w:tc>
        <w:tc>
          <w:tcPr>
            <w:tcW w:w="925" w:type="pct"/>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0.75</w:t>
            </w:r>
          </w:p>
        </w:tc>
        <w:tc>
          <w:tcPr>
            <w:tcW w:w="719" w:type="pct"/>
            <w:vMerge w:val="continue"/>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51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w:t>
            </w:r>
          </w:p>
        </w:tc>
        <w:tc>
          <w:tcPr>
            <w:tcW w:w="72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工程技术人员</w:t>
            </w:r>
          </w:p>
        </w:tc>
        <w:tc>
          <w:tcPr>
            <w:tcW w:w="212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负责设施设备的运行及日常维护；照明系统应定期检查维护巡检，遇有故障，及时处置，确保正常运行及日常小型维修工作。</w:t>
            </w:r>
          </w:p>
        </w:tc>
        <w:tc>
          <w:tcPr>
            <w:tcW w:w="925" w:type="pct"/>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0.80</w:t>
            </w:r>
          </w:p>
        </w:tc>
        <w:tc>
          <w:tcPr>
            <w:tcW w:w="719" w:type="pct"/>
            <w:vMerge w:val="continue"/>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51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w:t>
            </w:r>
          </w:p>
        </w:tc>
        <w:tc>
          <w:tcPr>
            <w:tcW w:w="72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会议服务人员</w:t>
            </w:r>
          </w:p>
        </w:tc>
        <w:tc>
          <w:tcPr>
            <w:tcW w:w="212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负责采购人安排指定会议室的会议服务（含会前准备、会中服务、会后清理）。</w:t>
            </w:r>
          </w:p>
        </w:tc>
        <w:tc>
          <w:tcPr>
            <w:tcW w:w="925" w:type="pct"/>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0.80</w:t>
            </w:r>
          </w:p>
        </w:tc>
        <w:tc>
          <w:tcPr>
            <w:tcW w:w="719" w:type="pct"/>
            <w:vMerge w:val="continue"/>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51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w:t>
            </w:r>
          </w:p>
        </w:tc>
        <w:tc>
          <w:tcPr>
            <w:tcW w:w="72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绿化养护人员</w:t>
            </w:r>
          </w:p>
        </w:tc>
        <w:tc>
          <w:tcPr>
            <w:tcW w:w="212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负责做好绿植养护，浇水、施肥、剪枝、平整、防冻及病虫害防治等日常管理工作，以保证绿化美观。</w:t>
            </w:r>
          </w:p>
        </w:tc>
        <w:tc>
          <w:tcPr>
            <w:tcW w:w="925" w:type="pct"/>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0.75</w:t>
            </w:r>
          </w:p>
        </w:tc>
        <w:tc>
          <w:tcPr>
            <w:tcW w:w="719" w:type="pct"/>
            <w:vMerge w:val="continue"/>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51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7</w:t>
            </w:r>
          </w:p>
        </w:tc>
        <w:tc>
          <w:tcPr>
            <w:tcW w:w="72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司梯</w:t>
            </w:r>
          </w:p>
        </w:tc>
        <w:tc>
          <w:tcPr>
            <w:tcW w:w="212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熟练掌握楼层分布情况，严格值守，不得脱岗，离岗。</w:t>
            </w:r>
          </w:p>
        </w:tc>
        <w:tc>
          <w:tcPr>
            <w:tcW w:w="925" w:type="pct"/>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0.55</w:t>
            </w:r>
          </w:p>
        </w:tc>
        <w:tc>
          <w:tcPr>
            <w:tcW w:w="719" w:type="pct"/>
            <w:vMerge w:val="continue"/>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51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8</w:t>
            </w:r>
          </w:p>
        </w:tc>
        <w:tc>
          <w:tcPr>
            <w:tcW w:w="72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其他服务人员</w:t>
            </w:r>
          </w:p>
        </w:tc>
        <w:tc>
          <w:tcPr>
            <w:tcW w:w="212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完成采购人针对本单位需求提出的特定服务要求</w:t>
            </w:r>
          </w:p>
        </w:tc>
        <w:tc>
          <w:tcPr>
            <w:tcW w:w="925" w:type="pct"/>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0.75</w:t>
            </w:r>
          </w:p>
        </w:tc>
        <w:tc>
          <w:tcPr>
            <w:tcW w:w="719" w:type="pct"/>
            <w:vMerge w:val="continue"/>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4280" w:type="pct"/>
            <w:gridSpan w:val="4"/>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管理费</w:t>
            </w:r>
            <w:r>
              <w:rPr>
                <w:rFonts w:hint="eastAsia" w:ascii="仿宋" w:hAnsi="仿宋" w:eastAsia="仿宋" w:cs="仿宋"/>
                <w:color w:val="auto"/>
                <w:sz w:val="24"/>
                <w:szCs w:val="24"/>
                <w:highlight w:val="none"/>
                <w:lang w:val="en-US" w:eastAsia="zh-CN"/>
              </w:rPr>
              <w:t>率</w:t>
            </w:r>
            <w:r>
              <w:rPr>
                <w:rFonts w:hint="eastAsia" w:ascii="仿宋" w:hAnsi="仿宋" w:eastAsia="仿宋" w:cs="仿宋"/>
                <w:color w:val="auto"/>
                <w:sz w:val="24"/>
                <w:szCs w:val="24"/>
                <w:highlight w:val="none"/>
                <w:lang w:eastAsia="zh-CN"/>
              </w:rPr>
              <w:t>（含法定税费、耗材、投入设备维护、投入人员服装、节假日加班费、福利等所有费用）</w:t>
            </w:r>
          </w:p>
        </w:tc>
        <w:tc>
          <w:tcPr>
            <w:tcW w:w="719" w:type="pct"/>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_GB2312" w:hAnsi="仿宋_GB2312" w:eastAsia="仿宋_GB2312" w:cs="仿宋_GB2312"/>
                <w:color w:val="000000"/>
                <w:kern w:val="0"/>
                <w:sz w:val="22"/>
                <w:szCs w:val="22"/>
                <w:highlight w:val="none"/>
                <w:lang w:val="en-US" w:eastAsia="zh-CN"/>
              </w:rPr>
              <w:t>（报价至小数点后三位数或以上）</w:t>
            </w:r>
          </w:p>
        </w:tc>
      </w:tr>
      <w:bookmarkEnd w:id="17"/>
    </w:tbl>
    <w:p>
      <w:pPr>
        <w:keepNext/>
        <w:keepLines/>
        <w:numPr>
          <w:ilvl w:val="0"/>
          <w:numId w:val="0"/>
        </w:numPr>
        <w:spacing w:line="360" w:lineRule="auto"/>
        <w:jc w:val="left"/>
        <w:outlineLvl w:val="1"/>
        <w:rPr>
          <w:rFonts w:hint="eastAsia" w:ascii="仿宋" w:hAnsi="仿宋" w:eastAsia="仿宋" w:cs="Times New Roman"/>
          <w:b/>
          <w:color w:val="auto"/>
          <w:sz w:val="28"/>
          <w:szCs w:val="28"/>
          <w:highlight w:val="none"/>
          <w:lang w:val="zh-CN" w:eastAsia="zh-CN"/>
        </w:rPr>
      </w:pPr>
      <w:bookmarkStart w:id="18" w:name="_Toc17383"/>
      <w:r>
        <w:rPr>
          <w:rFonts w:hint="eastAsia" w:ascii="仿宋" w:hAnsi="仿宋" w:eastAsia="仿宋" w:cs="Times New Roman"/>
          <w:b/>
          <w:color w:val="auto"/>
          <w:sz w:val="28"/>
          <w:szCs w:val="28"/>
          <w:highlight w:val="none"/>
          <w:lang w:val="en-US" w:eastAsia="zh-CN"/>
        </w:rPr>
        <w:t>五、商务要求</w:t>
      </w:r>
      <w:bookmarkEnd w:id="18"/>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1.合同履行期限：自封闭式框架协议签订之日起至2023年12月31日。</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2.服务交付或者实施的地域范围：采购人指定。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3.供应商如需更换项目经理等重要岗位人员，需得到甲方同意。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lang w:val="en-US" w:eastAsia="zh-CN"/>
        </w:rPr>
      </w:pPr>
      <w:r>
        <w:rPr>
          <w:rFonts w:hint="eastAsia" w:ascii="仿宋" w:hAnsi="仿宋" w:eastAsia="仿宋" w:cs="仿宋"/>
          <w:color w:val="auto"/>
          <w:sz w:val="24"/>
          <w:szCs w:val="24"/>
          <w:highlight w:val="none"/>
          <w:lang w:val="en-US" w:eastAsia="zh-CN"/>
        </w:rPr>
        <w:t>3.拟派服务人员中，从事的工作如需人员资质要求，派驻服务人员应具备相应能力，如特种作业操作证、健康证等。</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4.项目需要供应商具备相关资质或办理相关手续，供应商应具有相关资质或在项目服务后进行办理，如餐饮服务许可证、自行招用保安员单位备案等。</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5.如遇紧急情况，需要临时调派人手，供应商应当在4小时内保证所需人员及时到岗。</w:t>
      </w:r>
    </w:p>
    <w:p>
      <w:pPr>
        <w:keepNext/>
        <w:keepLines/>
        <w:numPr>
          <w:ilvl w:val="0"/>
          <w:numId w:val="0"/>
        </w:numPr>
        <w:spacing w:line="360" w:lineRule="auto"/>
        <w:jc w:val="left"/>
        <w:outlineLvl w:val="1"/>
        <w:rPr>
          <w:rFonts w:hint="eastAsia" w:ascii="仿宋" w:hAnsi="仿宋" w:eastAsia="仿宋" w:cs="Times New Roman"/>
          <w:b/>
          <w:color w:val="auto"/>
          <w:sz w:val="28"/>
          <w:szCs w:val="28"/>
          <w:highlight w:val="none"/>
          <w:lang w:val="zh-CN" w:eastAsia="zh-CN"/>
        </w:rPr>
      </w:pPr>
      <w:bookmarkStart w:id="19" w:name="_Toc23942"/>
      <w:r>
        <w:rPr>
          <w:rFonts w:hint="eastAsia" w:ascii="仿宋" w:hAnsi="仿宋" w:eastAsia="仿宋" w:cs="Times New Roman"/>
          <w:b/>
          <w:color w:val="auto"/>
          <w:sz w:val="28"/>
          <w:szCs w:val="28"/>
          <w:highlight w:val="none"/>
          <w:lang w:val="en-US" w:eastAsia="zh-CN"/>
        </w:rPr>
        <w:t>六、</w:t>
      </w:r>
      <w:r>
        <w:rPr>
          <w:rFonts w:hint="eastAsia" w:ascii="仿宋" w:hAnsi="仿宋" w:eastAsia="仿宋" w:cs="Times New Roman"/>
          <w:b/>
          <w:color w:val="auto"/>
          <w:sz w:val="28"/>
          <w:szCs w:val="28"/>
          <w:highlight w:val="none"/>
          <w:lang w:val="zh-CN" w:eastAsia="zh-CN"/>
        </w:rPr>
        <w:t>其他相关要求</w:t>
      </w:r>
      <w:bookmarkEnd w:id="19"/>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仿宋" w:hAnsi="仿宋" w:eastAsia="仿宋" w:cs="Helvetica"/>
          <w:b w:val="0"/>
          <w:bCs w:val="0"/>
          <w:kern w:val="0"/>
          <w:sz w:val="24"/>
          <w:szCs w:val="24"/>
          <w:highlight w:val="none"/>
        </w:rPr>
      </w:pPr>
      <w:r>
        <w:rPr>
          <w:rFonts w:hint="eastAsia" w:ascii="仿宋" w:hAnsi="仿宋" w:eastAsia="仿宋" w:cs="Helvetica"/>
          <w:b w:val="0"/>
          <w:bCs w:val="0"/>
          <w:kern w:val="0"/>
          <w:sz w:val="24"/>
          <w:szCs w:val="24"/>
          <w:highlight w:val="none"/>
        </w:rPr>
        <w:t>1.严格依据</w:t>
      </w:r>
      <w:r>
        <w:rPr>
          <w:rFonts w:hint="eastAsia" w:ascii="仿宋" w:hAnsi="仿宋" w:eastAsia="仿宋" w:cs="Helvetica"/>
          <w:b w:val="0"/>
          <w:bCs w:val="0"/>
          <w:kern w:val="0"/>
          <w:sz w:val="24"/>
          <w:szCs w:val="24"/>
          <w:highlight w:val="none"/>
          <w:lang w:val="en-US" w:eastAsia="zh-CN"/>
        </w:rPr>
        <w:t>征集</w:t>
      </w:r>
      <w:r>
        <w:rPr>
          <w:rFonts w:hint="eastAsia" w:ascii="仿宋" w:hAnsi="仿宋" w:eastAsia="仿宋" w:cs="Helvetica"/>
          <w:b w:val="0"/>
          <w:bCs w:val="0"/>
          <w:kern w:val="0"/>
          <w:sz w:val="24"/>
          <w:szCs w:val="24"/>
          <w:highlight w:val="none"/>
        </w:rPr>
        <w:t>文件要求和</w:t>
      </w:r>
      <w:r>
        <w:rPr>
          <w:rFonts w:hint="eastAsia" w:ascii="仿宋" w:hAnsi="仿宋" w:eastAsia="仿宋" w:cs="Helvetica"/>
          <w:b w:val="0"/>
          <w:bCs w:val="0"/>
          <w:kern w:val="0"/>
          <w:sz w:val="24"/>
          <w:szCs w:val="24"/>
          <w:highlight w:val="none"/>
          <w:lang w:val="en-US" w:eastAsia="zh-CN"/>
        </w:rPr>
        <w:t>响应</w:t>
      </w:r>
      <w:r>
        <w:rPr>
          <w:rFonts w:hint="eastAsia" w:ascii="仿宋" w:hAnsi="仿宋" w:eastAsia="仿宋" w:cs="Helvetica"/>
          <w:b w:val="0"/>
          <w:bCs w:val="0"/>
          <w:kern w:val="0"/>
          <w:sz w:val="24"/>
          <w:szCs w:val="24"/>
          <w:highlight w:val="none"/>
        </w:rPr>
        <w:t>文件的承诺，向市直各级单位提供服务。不实行任何形式的区域限制，提出任何附加条款。全面履行投标承诺，圆满完成市直各级单位的相关服务工作，确保质量，提供快捷、方便、满意的服务。</w:t>
      </w:r>
    </w:p>
    <w:p>
      <w:pPr>
        <w:rPr>
          <w:rFonts w:ascii="仿宋" w:hAnsi="仿宋" w:eastAsia="仿宋"/>
          <w:sz w:val="32"/>
          <w:szCs w:val="32"/>
        </w:rPr>
      </w:pPr>
      <w:r>
        <w:rPr>
          <w:rFonts w:hint="default"/>
          <w:lang w:val="en-US" w:eastAsia="zh-CN"/>
        </w:rPr>
        <w:br w:type="page"/>
      </w:r>
    </w:p>
    <w:p>
      <w:pPr>
        <w:pStyle w:val="3"/>
        <w:numPr>
          <w:ilvl w:val="0"/>
          <w:numId w:val="1"/>
        </w:numPr>
        <w:spacing w:before="240" w:after="120"/>
        <w:ind w:left="643" w:hanging="643" w:hangingChars="200"/>
        <w:jc w:val="both"/>
        <w:rPr>
          <w:rFonts w:ascii="仿宋" w:hAnsi="仿宋" w:eastAsia="仿宋"/>
          <w:sz w:val="32"/>
          <w:szCs w:val="32"/>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pStyle w:val="3"/>
        <w:numPr>
          <w:ilvl w:val="0"/>
          <w:numId w:val="1"/>
        </w:numPr>
        <w:spacing w:before="240" w:after="120"/>
        <w:ind w:left="643" w:hanging="643" w:hangingChars="200"/>
        <w:jc w:val="center"/>
        <w:rPr>
          <w:rFonts w:ascii="仿宋" w:hAnsi="仿宋" w:eastAsia="仿宋"/>
          <w:sz w:val="32"/>
          <w:szCs w:val="32"/>
        </w:rPr>
      </w:pPr>
      <w:r>
        <w:rPr>
          <w:rFonts w:hint="eastAsia" w:ascii="仿宋" w:hAnsi="仿宋" w:eastAsia="仿宋"/>
          <w:sz w:val="32"/>
          <w:szCs w:val="32"/>
          <w:lang w:val="en-US" w:eastAsia="zh-CN"/>
        </w:rPr>
        <w:t>框架协议文本</w:t>
      </w:r>
    </w:p>
    <w:p>
      <w:pPr>
        <w:ind w:firstLine="480" w:firstLineChars="200"/>
        <w:jc w:val="center"/>
        <w:outlineLvl w:val="0"/>
        <w:rPr>
          <w:rFonts w:hint="eastAsia" w:ascii="方正小标宋简体" w:hAnsi="方正小标宋简体" w:eastAsia="方正小标宋简体" w:cs="方正小标宋简体"/>
          <w:sz w:val="24"/>
          <w:szCs w:val="24"/>
        </w:rPr>
      </w:pPr>
      <w:bookmarkStart w:id="20" w:name="_Toc3052"/>
    </w:p>
    <w:p>
      <w:pPr>
        <w:ind w:firstLine="480" w:firstLineChars="200"/>
        <w:jc w:val="center"/>
        <w:outlineLvl w:val="0"/>
        <w:rPr>
          <w:rFonts w:ascii="方正小标宋简体" w:hAnsi="方正小标宋简体" w:eastAsia="方正小标宋简体" w:cs="方正小标宋简体"/>
          <w:sz w:val="24"/>
          <w:szCs w:val="24"/>
          <w:lang w:val="zh-CN"/>
        </w:rPr>
      </w:pPr>
      <w:r>
        <w:rPr>
          <w:rFonts w:hint="eastAsia" w:ascii="方正小标宋简体" w:hAnsi="方正小标宋简体" w:eastAsia="方正小标宋简体" w:cs="方正小标宋简体"/>
          <w:sz w:val="24"/>
          <w:szCs w:val="24"/>
        </w:rPr>
        <w:t>武汉市政府采购封闭式框架协议</w:t>
      </w:r>
      <w:bookmarkEnd w:id="20"/>
    </w:p>
    <w:p>
      <w:pPr>
        <w:spacing w:line="440" w:lineRule="exact"/>
        <w:ind w:firstLine="482" w:firstLineChars="200"/>
        <w:jc w:val="left"/>
        <w:rPr>
          <w:rFonts w:hint="eastAsia" w:ascii="仿宋" w:hAnsi="仿宋" w:eastAsia="仿宋" w:cs="仿宋"/>
          <w:b/>
          <w:bCs/>
          <w:color w:val="auto"/>
          <w:sz w:val="24"/>
          <w:szCs w:val="24"/>
          <w:lang w:val="en-US" w:eastAsia="zh-CN"/>
        </w:rPr>
      </w:pPr>
    </w:p>
    <w:p>
      <w:pPr>
        <w:spacing w:line="440" w:lineRule="exact"/>
        <w:ind w:firstLine="482" w:firstLineChars="200"/>
        <w:jc w:val="left"/>
        <w:rPr>
          <w:rFonts w:hint="eastAsia" w:ascii="仿宋" w:hAnsi="仿宋" w:eastAsia="仿宋" w:cs="仿宋"/>
          <w:b/>
          <w:bCs/>
          <w:color w:val="auto"/>
          <w:sz w:val="24"/>
          <w:szCs w:val="24"/>
          <w:lang w:val="en-US" w:eastAsia="zh-CN"/>
        </w:rPr>
      </w:pPr>
    </w:p>
    <w:p>
      <w:pPr>
        <w:spacing w:line="440" w:lineRule="exact"/>
        <w:ind w:firstLine="482" w:firstLineChars="200"/>
        <w:jc w:val="left"/>
        <w:rPr>
          <w:rFonts w:hint="eastAsia" w:ascii="仿宋" w:hAnsi="仿宋" w:eastAsia="仿宋" w:cs="仿宋"/>
          <w:b/>
          <w:bCs/>
          <w:color w:val="auto"/>
          <w:sz w:val="24"/>
          <w:szCs w:val="24"/>
          <w:lang w:val="en-US" w:eastAsia="zh-CN"/>
        </w:rPr>
      </w:pPr>
    </w:p>
    <w:p>
      <w:pPr>
        <w:spacing w:line="440" w:lineRule="exact"/>
        <w:ind w:firstLine="482" w:firstLineChars="200"/>
        <w:jc w:val="left"/>
        <w:rPr>
          <w:rFonts w:hint="eastAsia" w:ascii="仿宋" w:hAnsi="仿宋" w:eastAsia="仿宋" w:cs="仿宋"/>
          <w:b/>
          <w:bCs/>
          <w:color w:val="auto"/>
          <w:sz w:val="24"/>
          <w:szCs w:val="24"/>
          <w:lang w:val="en-US" w:eastAsia="zh-CN"/>
        </w:rPr>
      </w:pPr>
    </w:p>
    <w:p>
      <w:pPr>
        <w:spacing w:line="440" w:lineRule="exact"/>
        <w:ind w:firstLine="482" w:firstLineChars="200"/>
        <w:jc w:val="left"/>
        <w:rPr>
          <w:rFonts w:hint="eastAsia" w:ascii="仿宋" w:hAnsi="仿宋" w:eastAsia="仿宋" w:cs="仿宋"/>
          <w:b/>
          <w:bCs/>
          <w:color w:val="auto"/>
          <w:sz w:val="24"/>
          <w:szCs w:val="24"/>
          <w:lang w:val="en-US" w:eastAsia="zh-CN"/>
        </w:rPr>
      </w:pPr>
    </w:p>
    <w:p>
      <w:pPr>
        <w:spacing w:line="440" w:lineRule="exact"/>
        <w:ind w:firstLine="482" w:firstLineChars="200"/>
        <w:jc w:val="lef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框架协议采购项目名称：</w:t>
      </w:r>
    </w:p>
    <w:p>
      <w:pPr>
        <w:spacing w:line="440" w:lineRule="exact"/>
        <w:ind w:firstLine="482" w:firstLineChars="200"/>
        <w:jc w:val="left"/>
        <w:rPr>
          <w:rFonts w:hint="eastAsia" w:ascii="仿宋" w:hAnsi="仿宋" w:eastAsia="仿宋" w:cs="仿宋"/>
          <w:b/>
          <w:bCs/>
          <w:color w:val="auto"/>
          <w:sz w:val="24"/>
          <w:szCs w:val="24"/>
          <w:lang w:val="zh-CN" w:eastAsia="zh-CN"/>
        </w:rPr>
      </w:pPr>
      <w:r>
        <w:rPr>
          <w:rFonts w:hint="eastAsia" w:ascii="仿宋" w:hAnsi="仿宋" w:eastAsia="仿宋" w:cs="仿宋"/>
          <w:b/>
          <w:bCs/>
          <w:color w:val="auto"/>
          <w:sz w:val="24"/>
          <w:szCs w:val="24"/>
          <w:lang w:val="en-US" w:eastAsia="zh-CN"/>
        </w:rPr>
        <w:t>计划</w:t>
      </w:r>
      <w:r>
        <w:rPr>
          <w:rFonts w:hint="eastAsia" w:ascii="仿宋" w:hAnsi="仿宋" w:eastAsia="仿宋" w:cs="仿宋"/>
          <w:b/>
          <w:bCs/>
          <w:color w:val="auto"/>
          <w:sz w:val="24"/>
          <w:szCs w:val="24"/>
          <w:lang w:val="zh-CN" w:eastAsia="zh-CN"/>
        </w:rPr>
        <w:t>编号：</w:t>
      </w:r>
    </w:p>
    <w:p>
      <w:pPr>
        <w:spacing w:line="440" w:lineRule="exact"/>
        <w:ind w:firstLine="482" w:firstLineChars="200"/>
        <w:jc w:val="lef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项目编号：</w:t>
      </w:r>
    </w:p>
    <w:p>
      <w:pPr>
        <w:spacing w:line="440" w:lineRule="exact"/>
        <w:ind w:firstLine="482" w:firstLineChars="200"/>
        <w:jc w:val="left"/>
        <w:rPr>
          <w:rFonts w:hint="eastAsia" w:ascii="仿宋" w:hAnsi="仿宋" w:eastAsia="仿宋" w:cs="仿宋"/>
          <w:b/>
          <w:bCs/>
          <w:color w:val="auto"/>
          <w:sz w:val="24"/>
          <w:szCs w:val="24"/>
          <w:lang w:val="en-US" w:eastAsia="zh-CN"/>
        </w:rPr>
      </w:pPr>
    </w:p>
    <w:p>
      <w:pPr>
        <w:spacing w:line="440" w:lineRule="exact"/>
        <w:ind w:firstLine="482" w:firstLineChars="200"/>
        <w:jc w:val="left"/>
        <w:rPr>
          <w:rFonts w:hint="eastAsia" w:ascii="仿宋" w:hAnsi="仿宋" w:eastAsia="仿宋" w:cs="仿宋"/>
          <w:b/>
          <w:bCs/>
          <w:color w:val="auto"/>
          <w:sz w:val="24"/>
          <w:szCs w:val="24"/>
          <w:lang w:val="en-US" w:eastAsia="zh-CN"/>
        </w:rPr>
      </w:pPr>
    </w:p>
    <w:p>
      <w:pPr>
        <w:spacing w:line="440" w:lineRule="exact"/>
        <w:ind w:firstLine="482" w:firstLineChars="200"/>
        <w:jc w:val="left"/>
        <w:rPr>
          <w:rFonts w:hint="eastAsia" w:ascii="仿宋" w:hAnsi="仿宋" w:eastAsia="仿宋" w:cs="仿宋"/>
          <w:b/>
          <w:bCs/>
          <w:color w:val="auto"/>
          <w:sz w:val="24"/>
          <w:szCs w:val="24"/>
          <w:lang w:val="en-US" w:eastAsia="zh-CN"/>
        </w:rPr>
      </w:pPr>
    </w:p>
    <w:p>
      <w:pPr>
        <w:spacing w:line="440" w:lineRule="exact"/>
        <w:ind w:firstLine="482" w:firstLineChars="200"/>
        <w:jc w:val="left"/>
        <w:rPr>
          <w:rFonts w:hint="eastAsia" w:ascii="仿宋" w:hAnsi="仿宋" w:eastAsia="仿宋" w:cs="仿宋"/>
          <w:b/>
          <w:bCs/>
          <w:color w:val="auto"/>
          <w:sz w:val="24"/>
          <w:szCs w:val="24"/>
          <w:lang w:val="en-US" w:eastAsia="zh-CN"/>
        </w:rPr>
      </w:pPr>
    </w:p>
    <w:p>
      <w:pPr>
        <w:spacing w:line="440" w:lineRule="exact"/>
        <w:ind w:firstLine="482" w:firstLineChars="200"/>
        <w:jc w:val="left"/>
        <w:rPr>
          <w:rFonts w:hint="eastAsia" w:ascii="仿宋" w:hAnsi="仿宋" w:eastAsia="仿宋" w:cs="仿宋"/>
          <w:b/>
          <w:bCs/>
          <w:color w:val="auto"/>
          <w:sz w:val="24"/>
          <w:szCs w:val="24"/>
          <w:lang w:val="zh-CN" w:eastAsia="zh-CN"/>
        </w:rPr>
      </w:pPr>
    </w:p>
    <w:p>
      <w:pPr>
        <w:spacing w:line="440" w:lineRule="exact"/>
        <w:ind w:firstLine="482" w:firstLineChars="200"/>
        <w:jc w:val="left"/>
        <w:rPr>
          <w:rFonts w:hint="eastAsia" w:ascii="仿宋" w:hAnsi="仿宋" w:eastAsia="仿宋" w:cs="仿宋"/>
          <w:b/>
          <w:bCs/>
          <w:color w:val="auto"/>
          <w:sz w:val="24"/>
          <w:szCs w:val="24"/>
          <w:lang w:val="zh-CN" w:eastAsia="zh-CN"/>
        </w:rPr>
      </w:pPr>
      <w:r>
        <w:rPr>
          <w:rFonts w:hint="eastAsia" w:ascii="仿宋" w:hAnsi="仿宋" w:eastAsia="仿宋" w:cs="仿宋"/>
          <w:b/>
          <w:bCs/>
          <w:color w:val="auto"/>
          <w:sz w:val="24"/>
          <w:szCs w:val="24"/>
          <w:lang w:val="zh-CN" w:eastAsia="zh-CN"/>
        </w:rPr>
        <w:t>甲方（</w:t>
      </w:r>
      <w:r>
        <w:rPr>
          <w:rFonts w:hint="eastAsia" w:ascii="仿宋" w:hAnsi="仿宋" w:eastAsia="仿宋" w:cs="仿宋"/>
          <w:b/>
          <w:bCs/>
          <w:color w:val="auto"/>
          <w:sz w:val="24"/>
          <w:szCs w:val="24"/>
          <w:lang w:val="en-US" w:eastAsia="zh-CN"/>
        </w:rPr>
        <w:t>集中采购代理机构</w:t>
      </w:r>
      <w:r>
        <w:rPr>
          <w:rFonts w:hint="eastAsia" w:ascii="仿宋" w:hAnsi="仿宋" w:eastAsia="仿宋" w:cs="仿宋"/>
          <w:b/>
          <w:bCs/>
          <w:color w:val="auto"/>
          <w:sz w:val="24"/>
          <w:szCs w:val="24"/>
          <w:lang w:val="zh-CN" w:eastAsia="zh-CN"/>
        </w:rPr>
        <w:t>）：</w:t>
      </w:r>
    </w:p>
    <w:p>
      <w:pPr>
        <w:spacing w:line="440" w:lineRule="exact"/>
        <w:ind w:firstLine="482" w:firstLineChars="200"/>
        <w:jc w:val="left"/>
        <w:rPr>
          <w:rFonts w:hint="eastAsia" w:ascii="仿宋" w:hAnsi="仿宋" w:eastAsia="仿宋" w:cs="仿宋"/>
          <w:b/>
          <w:bCs/>
          <w:color w:val="auto"/>
          <w:sz w:val="24"/>
          <w:szCs w:val="24"/>
          <w:lang w:val="zh-CN" w:eastAsia="zh-CN"/>
        </w:rPr>
      </w:pPr>
      <w:r>
        <w:rPr>
          <w:rFonts w:hint="eastAsia" w:ascii="仿宋" w:hAnsi="仿宋" w:eastAsia="仿宋" w:cs="仿宋"/>
          <w:b/>
          <w:bCs/>
          <w:color w:val="auto"/>
          <w:sz w:val="24"/>
          <w:szCs w:val="24"/>
          <w:lang w:val="zh-CN" w:eastAsia="zh-CN"/>
        </w:rPr>
        <w:t>住所地：</w:t>
      </w:r>
    </w:p>
    <w:p>
      <w:pPr>
        <w:spacing w:line="440" w:lineRule="exact"/>
        <w:ind w:firstLine="482" w:firstLineChars="200"/>
        <w:jc w:val="lef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联系方式：</w:t>
      </w:r>
    </w:p>
    <w:p>
      <w:pPr>
        <w:spacing w:line="440" w:lineRule="exact"/>
        <w:ind w:firstLine="482" w:firstLineChars="200"/>
        <w:jc w:val="left"/>
        <w:rPr>
          <w:rFonts w:hint="eastAsia" w:ascii="仿宋" w:hAnsi="仿宋" w:eastAsia="仿宋" w:cs="仿宋"/>
          <w:b/>
          <w:bCs/>
          <w:color w:val="auto"/>
          <w:sz w:val="24"/>
          <w:szCs w:val="24"/>
          <w:lang w:val="en-US" w:eastAsia="zh-CN"/>
        </w:rPr>
      </w:pPr>
    </w:p>
    <w:p>
      <w:pPr>
        <w:spacing w:line="440" w:lineRule="exact"/>
        <w:ind w:firstLine="482" w:firstLineChars="200"/>
        <w:jc w:val="left"/>
        <w:rPr>
          <w:rFonts w:hint="eastAsia" w:ascii="仿宋" w:hAnsi="仿宋" w:eastAsia="仿宋" w:cs="仿宋"/>
          <w:b/>
          <w:bCs/>
          <w:color w:val="auto"/>
          <w:sz w:val="24"/>
          <w:szCs w:val="24"/>
          <w:lang w:val="en-US" w:eastAsia="zh-CN"/>
        </w:rPr>
      </w:pPr>
    </w:p>
    <w:p>
      <w:pPr>
        <w:spacing w:line="440" w:lineRule="exact"/>
        <w:ind w:firstLine="482" w:firstLineChars="200"/>
        <w:jc w:val="left"/>
        <w:rPr>
          <w:rFonts w:hint="eastAsia" w:ascii="仿宋" w:hAnsi="仿宋" w:eastAsia="仿宋" w:cs="仿宋"/>
          <w:b/>
          <w:bCs/>
          <w:color w:val="auto"/>
          <w:sz w:val="24"/>
          <w:szCs w:val="24"/>
          <w:lang w:val="en-US" w:eastAsia="zh-CN"/>
        </w:rPr>
      </w:pPr>
    </w:p>
    <w:p>
      <w:pPr>
        <w:spacing w:line="440" w:lineRule="exact"/>
        <w:ind w:firstLine="482" w:firstLineChars="200"/>
        <w:jc w:val="left"/>
        <w:rPr>
          <w:rFonts w:hint="eastAsia" w:ascii="仿宋" w:hAnsi="仿宋" w:eastAsia="仿宋" w:cs="仿宋"/>
          <w:b/>
          <w:bCs/>
          <w:color w:val="auto"/>
          <w:sz w:val="24"/>
          <w:szCs w:val="24"/>
          <w:lang w:val="en-US" w:eastAsia="zh-CN"/>
        </w:rPr>
      </w:pPr>
    </w:p>
    <w:p>
      <w:pPr>
        <w:spacing w:line="440" w:lineRule="exact"/>
        <w:ind w:firstLine="482" w:firstLineChars="200"/>
        <w:jc w:val="left"/>
        <w:rPr>
          <w:rFonts w:hint="eastAsia" w:ascii="仿宋" w:hAnsi="仿宋" w:eastAsia="仿宋" w:cs="仿宋"/>
          <w:b/>
          <w:bCs/>
          <w:color w:val="auto"/>
          <w:sz w:val="24"/>
          <w:szCs w:val="24"/>
          <w:lang w:val="zh-CN" w:eastAsia="zh-CN"/>
        </w:rPr>
      </w:pPr>
      <w:r>
        <w:rPr>
          <w:rFonts w:hint="eastAsia" w:ascii="仿宋" w:hAnsi="仿宋" w:eastAsia="仿宋" w:cs="仿宋"/>
          <w:b/>
          <w:bCs/>
          <w:color w:val="auto"/>
          <w:sz w:val="24"/>
          <w:szCs w:val="24"/>
          <w:lang w:val="zh-CN" w:eastAsia="zh-CN"/>
        </w:rPr>
        <w:t>乙方（</w:t>
      </w:r>
      <w:r>
        <w:rPr>
          <w:rFonts w:hint="eastAsia" w:ascii="仿宋" w:hAnsi="仿宋" w:eastAsia="仿宋" w:cs="仿宋"/>
          <w:b/>
          <w:bCs/>
          <w:color w:val="auto"/>
          <w:sz w:val="24"/>
          <w:szCs w:val="24"/>
          <w:lang w:val="en-US" w:eastAsia="zh-CN"/>
        </w:rPr>
        <w:t>入围供应商</w:t>
      </w:r>
      <w:r>
        <w:rPr>
          <w:rFonts w:hint="eastAsia" w:ascii="仿宋" w:hAnsi="仿宋" w:eastAsia="仿宋" w:cs="仿宋"/>
          <w:b/>
          <w:bCs/>
          <w:color w:val="auto"/>
          <w:sz w:val="24"/>
          <w:szCs w:val="24"/>
          <w:lang w:val="zh-CN" w:eastAsia="zh-CN"/>
        </w:rPr>
        <w:t>）：</w:t>
      </w:r>
    </w:p>
    <w:p>
      <w:pPr>
        <w:spacing w:line="440" w:lineRule="exact"/>
        <w:ind w:firstLine="482" w:firstLineChars="200"/>
        <w:jc w:val="left"/>
        <w:rPr>
          <w:rFonts w:hint="eastAsia" w:ascii="仿宋" w:hAnsi="仿宋" w:eastAsia="仿宋" w:cs="仿宋"/>
          <w:b/>
          <w:bCs/>
          <w:color w:val="auto"/>
          <w:sz w:val="24"/>
          <w:szCs w:val="24"/>
          <w:lang w:val="zh-CN" w:eastAsia="zh-CN"/>
        </w:rPr>
      </w:pPr>
      <w:r>
        <w:rPr>
          <w:rFonts w:hint="eastAsia" w:ascii="仿宋" w:hAnsi="仿宋" w:eastAsia="仿宋" w:cs="仿宋"/>
          <w:b/>
          <w:bCs/>
          <w:color w:val="auto"/>
          <w:sz w:val="24"/>
          <w:szCs w:val="24"/>
          <w:lang w:val="zh-CN" w:eastAsia="zh-CN"/>
        </w:rPr>
        <w:t>住所地：</w:t>
      </w:r>
    </w:p>
    <w:p>
      <w:pPr>
        <w:spacing w:line="440" w:lineRule="exact"/>
        <w:ind w:firstLine="482" w:firstLineChars="200"/>
        <w:jc w:val="lef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联系方式：</w:t>
      </w:r>
    </w:p>
    <w:p>
      <w:pP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br w:type="page"/>
      </w:r>
    </w:p>
    <w:p>
      <w:pPr>
        <w:pageBreakBefore w:val="0"/>
        <w:widowControl w:val="0"/>
        <w:kinsoku/>
        <w:wordWrap/>
        <w:overflowPunct/>
        <w:topLinePunct w:val="0"/>
        <w:bidi w:val="0"/>
        <w:snapToGrid/>
        <w:spacing w:line="460" w:lineRule="exact"/>
        <w:ind w:firstLine="52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rPr>
        <w:t>根据《中华人民共和国政府采购法》、《</w:t>
      </w:r>
      <w:r>
        <w:rPr>
          <w:rStyle w:val="19"/>
          <w:rFonts w:hint="eastAsia" w:ascii="仿宋" w:hAnsi="仿宋" w:eastAsia="仿宋" w:cs="仿宋"/>
          <w:color w:val="auto"/>
          <w:sz w:val="24"/>
          <w:szCs w:val="24"/>
          <w:lang w:val="en-US" w:eastAsia="zh-CN"/>
        </w:rPr>
        <w:t>政府采购框架协议采购方式管理暂行办法</w:t>
      </w:r>
      <w:r>
        <w:rPr>
          <w:rStyle w:val="19"/>
          <w:rFonts w:hint="eastAsia" w:ascii="仿宋" w:hAnsi="仿宋" w:eastAsia="仿宋" w:cs="仿宋"/>
          <w:color w:val="auto"/>
          <w:sz w:val="24"/>
          <w:szCs w:val="24"/>
        </w:rPr>
        <w:t>》《中华人民共和国</w:t>
      </w:r>
      <w:r>
        <w:rPr>
          <w:rStyle w:val="19"/>
          <w:rFonts w:hint="eastAsia" w:ascii="仿宋" w:hAnsi="仿宋" w:eastAsia="仿宋" w:cs="仿宋"/>
          <w:color w:val="auto"/>
          <w:sz w:val="24"/>
          <w:szCs w:val="24"/>
          <w:lang w:val="en-US" w:eastAsia="zh-CN"/>
        </w:rPr>
        <w:t>民法典</w:t>
      </w:r>
      <w:r>
        <w:rPr>
          <w:rStyle w:val="19"/>
          <w:rFonts w:hint="eastAsia" w:ascii="仿宋" w:hAnsi="仿宋" w:eastAsia="仿宋" w:cs="仿宋"/>
          <w:color w:val="auto"/>
          <w:sz w:val="24"/>
          <w:szCs w:val="24"/>
        </w:rPr>
        <w:t>》等法律法规</w:t>
      </w:r>
      <w:r>
        <w:rPr>
          <w:rStyle w:val="19"/>
          <w:rFonts w:hint="eastAsia" w:ascii="仿宋" w:hAnsi="仿宋" w:eastAsia="仿宋" w:cs="仿宋"/>
          <w:color w:val="auto"/>
          <w:sz w:val="24"/>
          <w:szCs w:val="24"/>
          <w:lang w:val="en-US" w:eastAsia="zh-CN"/>
        </w:rPr>
        <w:t>规定</w:t>
      </w:r>
      <w:r>
        <w:rPr>
          <w:rStyle w:val="19"/>
          <w:rFonts w:hint="eastAsia" w:ascii="仿宋" w:hAnsi="仿宋" w:eastAsia="仿宋" w:cs="仿宋"/>
          <w:color w:val="auto"/>
          <w:sz w:val="24"/>
          <w:szCs w:val="24"/>
        </w:rPr>
        <w:t>，</w:t>
      </w:r>
      <w:r>
        <w:rPr>
          <w:rStyle w:val="19"/>
          <w:rFonts w:hint="eastAsia" w:ascii="仿宋" w:hAnsi="仿宋" w:eastAsia="仿宋" w:cs="仿宋"/>
          <w:color w:val="auto"/>
          <w:sz w:val="24"/>
          <w:szCs w:val="24"/>
          <w:lang w:val="en-US" w:eastAsia="zh-CN"/>
        </w:rPr>
        <w:t>甲乙双方经平等协商就框架协议采购事项，订立本框架协议。</w:t>
      </w:r>
    </w:p>
    <w:p>
      <w:pPr>
        <w:pStyle w:val="4"/>
        <w:pageBreakBefore w:val="0"/>
        <w:widowControl w:val="0"/>
        <w:numPr>
          <w:ilvl w:val="0"/>
          <w:numId w:val="4"/>
        </w:numPr>
        <w:kinsoku/>
        <w:wordWrap/>
        <w:overflowPunct/>
        <w:topLinePunct w:val="0"/>
        <w:bidi w:val="0"/>
        <w:snapToGrid/>
        <w:spacing w:before="0" w:after="0" w:line="460" w:lineRule="exact"/>
        <w:textAlignment w:val="auto"/>
        <w:rPr>
          <w:rStyle w:val="19"/>
          <w:rFonts w:hint="eastAsia" w:ascii="仿宋" w:hAnsi="仿宋" w:eastAsia="仿宋" w:cs="仿宋"/>
          <w:color w:val="auto"/>
          <w:sz w:val="24"/>
          <w:szCs w:val="24"/>
          <w:lang w:val="en-US" w:eastAsia="zh-CN"/>
        </w:rPr>
      </w:pPr>
      <w:bookmarkStart w:id="21" w:name="_Toc18548"/>
      <w:bookmarkStart w:id="22" w:name="_Toc11191"/>
      <w:bookmarkStart w:id="23" w:name="_Toc4981"/>
      <w:r>
        <w:rPr>
          <w:rStyle w:val="19"/>
          <w:rFonts w:hint="eastAsia" w:ascii="仿宋" w:hAnsi="仿宋" w:eastAsia="仿宋" w:cs="仿宋"/>
          <w:color w:val="auto"/>
          <w:sz w:val="24"/>
          <w:szCs w:val="24"/>
          <w:lang w:val="en-US" w:eastAsia="zh-CN"/>
        </w:rPr>
        <w:t>定义</w:t>
      </w:r>
      <w:bookmarkEnd w:id="21"/>
    </w:p>
    <w:p>
      <w:pPr>
        <w:pageBreakBefore w:val="0"/>
        <w:widowControl w:val="0"/>
        <w:kinsoku/>
        <w:wordWrap/>
        <w:overflowPunct/>
        <w:topLinePunct w:val="0"/>
        <w:bidi w:val="0"/>
        <w:snapToGrid/>
        <w:spacing w:line="460" w:lineRule="exact"/>
        <w:ind w:firstLine="520"/>
        <w:textAlignment w:val="auto"/>
        <w:rPr>
          <w:rStyle w:val="19"/>
          <w:rFonts w:hint="eastAsia" w:ascii="仿宋" w:hAnsi="仿宋" w:eastAsia="仿宋" w:cs="仿宋"/>
          <w:color w:val="auto"/>
          <w:sz w:val="24"/>
          <w:szCs w:val="24"/>
        </w:rPr>
      </w:pPr>
      <w:r>
        <w:rPr>
          <w:rStyle w:val="19"/>
          <w:rFonts w:hint="eastAsia" w:ascii="仿宋" w:hAnsi="仿宋" w:eastAsia="仿宋" w:cs="仿宋"/>
          <w:color w:val="auto"/>
          <w:sz w:val="24"/>
          <w:szCs w:val="24"/>
        </w:rPr>
        <w:t>除非另有特别约定，在本协议以及与本协议有关的甲乙双方另行签订的其他文件中，下列词语按如下定义进行解释：</w:t>
      </w:r>
    </w:p>
    <w:p>
      <w:pPr>
        <w:pageBreakBefore w:val="0"/>
        <w:widowControl w:val="0"/>
        <w:numPr>
          <w:ilvl w:val="0"/>
          <w:numId w:val="5"/>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“入围供应商”是指通过政府采购框架协议采购项目征集程序，合法取得订立本框架协议资格的供应商。</w:t>
      </w:r>
    </w:p>
    <w:p>
      <w:pPr>
        <w:pageBreakBefore w:val="0"/>
        <w:widowControl w:val="0"/>
        <w:numPr>
          <w:ilvl w:val="0"/>
          <w:numId w:val="5"/>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“最高限制单价”是指供应商第一阶段响应报价的最高限价。</w:t>
      </w:r>
    </w:p>
    <w:p>
      <w:pPr>
        <w:pageBreakBefore w:val="0"/>
        <w:widowControl w:val="0"/>
        <w:numPr>
          <w:ilvl w:val="0"/>
          <w:numId w:val="5"/>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“协议价格”是指入围供应商第一阶段响应报价（有量价关系折扣的，包括量价关系折扣），是采购人确定第二阶段成交供应商的最高限价。</w:t>
      </w:r>
    </w:p>
    <w:p>
      <w:pPr>
        <w:pageBreakBefore w:val="0"/>
        <w:widowControl w:val="0"/>
        <w:numPr>
          <w:ilvl w:val="0"/>
          <w:numId w:val="5"/>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“附件”是指与本协议的订立、履行有关的，经甲乙双方认可的，对本协议约定的内容进行细化、补充、修改、变更的文件、图纸、音像制品等资料，包括本项目征集文件、乙方响应文件。</w:t>
      </w:r>
    </w:p>
    <w:p>
      <w:pPr>
        <w:pStyle w:val="4"/>
        <w:pageBreakBefore w:val="0"/>
        <w:widowControl w:val="0"/>
        <w:numPr>
          <w:ilvl w:val="0"/>
          <w:numId w:val="4"/>
        </w:numPr>
        <w:kinsoku/>
        <w:wordWrap/>
        <w:overflowPunct/>
        <w:topLinePunct w:val="0"/>
        <w:bidi w:val="0"/>
        <w:snapToGrid/>
        <w:spacing w:before="0" w:after="0" w:line="460" w:lineRule="exact"/>
        <w:textAlignment w:val="auto"/>
        <w:rPr>
          <w:rStyle w:val="19"/>
          <w:rFonts w:hint="eastAsia" w:ascii="仿宋" w:hAnsi="仿宋" w:eastAsia="仿宋" w:cs="仿宋"/>
          <w:color w:val="auto"/>
          <w:sz w:val="24"/>
          <w:szCs w:val="24"/>
          <w:lang w:val="en-US" w:eastAsia="zh-CN"/>
        </w:rPr>
      </w:pPr>
      <w:bookmarkStart w:id="24" w:name="_Toc25956"/>
      <w:r>
        <w:rPr>
          <w:rStyle w:val="19"/>
          <w:rFonts w:hint="eastAsia" w:ascii="仿宋" w:hAnsi="仿宋" w:eastAsia="仿宋" w:cs="仿宋"/>
          <w:color w:val="auto"/>
          <w:sz w:val="24"/>
          <w:szCs w:val="24"/>
          <w:lang w:val="en-US" w:eastAsia="zh-CN"/>
        </w:rPr>
        <w:t>采购需求</w:t>
      </w:r>
      <w:bookmarkEnd w:id="24"/>
    </w:p>
    <w:p>
      <w:pPr>
        <w:pageBreakBefore w:val="0"/>
        <w:widowControl w:val="0"/>
        <w:numPr>
          <w:ilvl w:val="0"/>
          <w:numId w:val="6"/>
        </w:numPr>
        <w:kinsoku/>
        <w:wordWrap/>
        <w:overflowPunct/>
        <w:topLinePunct w:val="0"/>
        <w:bidi w:val="0"/>
        <w:snapToGrid/>
        <w:spacing w:line="460" w:lineRule="exact"/>
        <w:ind w:left="425" w:leftChars="0" w:hanging="42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采购需求（详见征集文件）</w:t>
      </w:r>
    </w:p>
    <w:p>
      <w:pPr>
        <w:pageBreakBefore w:val="0"/>
        <w:widowControl w:val="0"/>
        <w:numPr>
          <w:ilvl w:val="0"/>
          <w:numId w:val="6"/>
        </w:numPr>
        <w:kinsoku/>
        <w:wordWrap/>
        <w:overflowPunct/>
        <w:topLinePunct w:val="0"/>
        <w:bidi w:val="0"/>
        <w:snapToGrid/>
        <w:spacing w:line="460" w:lineRule="exact"/>
        <w:ind w:left="425" w:leftChars="0" w:hanging="42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最高限制单价（详见征集文件）</w:t>
      </w:r>
    </w:p>
    <w:p>
      <w:pPr>
        <w:pageBreakBefore w:val="0"/>
        <w:widowControl w:val="0"/>
        <w:numPr>
          <w:ilvl w:val="0"/>
          <w:numId w:val="6"/>
        </w:numPr>
        <w:kinsoku/>
        <w:wordWrap/>
        <w:overflowPunct/>
        <w:topLinePunct w:val="0"/>
        <w:bidi w:val="0"/>
        <w:snapToGrid/>
        <w:spacing w:line="460" w:lineRule="exact"/>
        <w:ind w:left="425" w:leftChars="0" w:hanging="42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服务内容、服务标准（详见乙方的响应文件）</w:t>
      </w:r>
    </w:p>
    <w:p>
      <w:pPr>
        <w:pageBreakBefore w:val="0"/>
        <w:widowControl w:val="0"/>
        <w:numPr>
          <w:ilvl w:val="0"/>
          <w:numId w:val="6"/>
        </w:numPr>
        <w:kinsoku/>
        <w:wordWrap/>
        <w:overflowPunct/>
        <w:topLinePunct w:val="0"/>
        <w:bidi w:val="0"/>
        <w:snapToGrid/>
        <w:spacing w:line="460" w:lineRule="exact"/>
        <w:ind w:left="425" w:leftChars="0" w:hanging="42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协议价格（详见征集文件以及乙方的响应文件）</w:t>
      </w:r>
    </w:p>
    <w:bookmarkEnd w:id="22"/>
    <w:bookmarkEnd w:id="23"/>
    <w:p>
      <w:pPr>
        <w:pStyle w:val="4"/>
        <w:pageBreakBefore w:val="0"/>
        <w:widowControl w:val="0"/>
        <w:numPr>
          <w:ilvl w:val="0"/>
          <w:numId w:val="4"/>
        </w:numPr>
        <w:kinsoku/>
        <w:wordWrap/>
        <w:overflowPunct/>
        <w:topLinePunct w:val="0"/>
        <w:bidi w:val="0"/>
        <w:snapToGrid/>
        <w:spacing w:before="0" w:after="0" w:line="460" w:lineRule="exact"/>
        <w:textAlignment w:val="auto"/>
        <w:rPr>
          <w:rStyle w:val="19"/>
          <w:rFonts w:hint="eastAsia" w:ascii="仿宋" w:hAnsi="仿宋" w:eastAsia="仿宋" w:cs="仿宋"/>
          <w:color w:val="auto"/>
          <w:sz w:val="24"/>
          <w:szCs w:val="24"/>
          <w:lang w:val="en-US" w:eastAsia="zh-CN"/>
        </w:rPr>
      </w:pPr>
      <w:bookmarkStart w:id="25" w:name="_Toc13518"/>
      <w:r>
        <w:rPr>
          <w:rStyle w:val="19"/>
          <w:rFonts w:hint="eastAsia" w:ascii="仿宋" w:hAnsi="仿宋" w:eastAsia="仿宋" w:cs="仿宋"/>
          <w:color w:val="auto"/>
          <w:sz w:val="24"/>
          <w:szCs w:val="24"/>
          <w:lang w:val="en-US" w:eastAsia="zh-CN"/>
        </w:rPr>
        <w:t>入围产品升级换代</w:t>
      </w:r>
      <w:bookmarkEnd w:id="25"/>
      <w:r>
        <w:rPr>
          <w:rStyle w:val="19"/>
          <w:rFonts w:hint="eastAsia" w:ascii="仿宋" w:hAnsi="仿宋" w:eastAsia="仿宋" w:cs="仿宋"/>
          <w:color w:val="auto"/>
          <w:sz w:val="24"/>
          <w:szCs w:val="24"/>
          <w:lang w:val="en-US" w:eastAsia="zh-CN"/>
        </w:rPr>
        <w:t>（服务类项目不适用）</w:t>
      </w:r>
    </w:p>
    <w:p>
      <w:pPr>
        <w:pageBreakBefore w:val="0"/>
        <w:widowControl w:val="0"/>
        <w:numPr>
          <w:ilvl w:val="0"/>
          <w:numId w:val="0"/>
        </w:numPr>
        <w:kinsoku/>
        <w:wordWrap/>
        <w:overflowPunct/>
        <w:topLinePunct w:val="0"/>
        <w:bidi w:val="0"/>
        <w:snapToGrid/>
        <w:spacing w:line="460" w:lineRule="exact"/>
        <w:ind w:left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在框架协议期内，入围供应商可以按程序对已入围产品进行升级替换，需保证新产品的质量不得低于旧产品、价格不得高于旧产品。供应商应提供新旧产品参数配置、市场价格、服务标准等信息对比表。</w:t>
      </w:r>
    </w:p>
    <w:p>
      <w:pPr>
        <w:pStyle w:val="4"/>
        <w:pageBreakBefore w:val="0"/>
        <w:widowControl w:val="0"/>
        <w:numPr>
          <w:ilvl w:val="0"/>
          <w:numId w:val="4"/>
        </w:numPr>
        <w:kinsoku/>
        <w:wordWrap/>
        <w:overflowPunct/>
        <w:topLinePunct w:val="0"/>
        <w:bidi w:val="0"/>
        <w:snapToGrid/>
        <w:spacing w:before="0" w:after="0" w:line="460" w:lineRule="exact"/>
        <w:textAlignment w:val="auto"/>
        <w:rPr>
          <w:rStyle w:val="19"/>
          <w:rFonts w:hint="eastAsia" w:ascii="仿宋" w:hAnsi="仿宋" w:eastAsia="仿宋" w:cs="仿宋"/>
          <w:color w:val="auto"/>
          <w:sz w:val="24"/>
          <w:szCs w:val="24"/>
          <w:lang w:val="en-US" w:eastAsia="zh-CN"/>
        </w:rPr>
      </w:pPr>
      <w:bookmarkStart w:id="26" w:name="_Toc30034"/>
      <w:r>
        <w:rPr>
          <w:rStyle w:val="19"/>
          <w:rFonts w:hint="eastAsia" w:ascii="仿宋" w:hAnsi="仿宋" w:eastAsia="仿宋" w:cs="仿宋"/>
          <w:color w:val="auto"/>
          <w:sz w:val="24"/>
          <w:szCs w:val="24"/>
          <w:lang w:val="en-US" w:eastAsia="zh-CN"/>
        </w:rPr>
        <w:t>确定第二阶段成交供应商</w:t>
      </w:r>
      <w:bookmarkEnd w:id="26"/>
    </w:p>
    <w:p>
      <w:pPr>
        <w:pageBreakBefore w:val="0"/>
        <w:widowControl w:val="0"/>
        <w:numPr>
          <w:ilvl w:val="0"/>
          <w:numId w:val="7"/>
        </w:numPr>
        <w:kinsoku/>
        <w:wordWrap/>
        <w:overflowPunct/>
        <w:topLinePunct w:val="0"/>
        <w:bidi w:val="0"/>
        <w:snapToGrid/>
        <w:spacing w:line="460" w:lineRule="exact"/>
        <w:ind w:left="425" w:leftChars="0" w:hanging="425" w:firstLineChars="0"/>
        <w:textAlignment w:val="auto"/>
        <w:rPr>
          <w:rStyle w:val="19"/>
          <w:rFonts w:hint="eastAsia" w:ascii="仿宋" w:hAnsi="仿宋" w:eastAsia="仿宋" w:cs="仿宋"/>
          <w:color w:val="auto"/>
          <w:sz w:val="24"/>
          <w:szCs w:val="24"/>
          <w:lang w:val="en-US" w:eastAsia="zh-CN"/>
        </w:rPr>
      </w:pPr>
      <w:bookmarkStart w:id="27" w:name="_Toc814"/>
      <w:r>
        <w:rPr>
          <w:rStyle w:val="19"/>
          <w:rFonts w:hint="eastAsia" w:ascii="仿宋" w:hAnsi="仿宋" w:eastAsia="仿宋" w:cs="仿宋"/>
          <w:color w:val="auto"/>
          <w:sz w:val="24"/>
          <w:szCs w:val="24"/>
          <w:lang w:val="en-US" w:eastAsia="zh-CN"/>
        </w:rPr>
        <w:t>确定第二阶段成交供应商的方式为直接选定和二次竞价。</w:t>
      </w:r>
    </w:p>
    <w:p>
      <w:pPr>
        <w:pageBreakBefore w:val="0"/>
        <w:widowControl w:val="0"/>
        <w:numPr>
          <w:ilvl w:val="0"/>
          <w:numId w:val="0"/>
        </w:numPr>
        <w:kinsoku/>
        <w:wordWrap/>
        <w:overflowPunct/>
        <w:topLinePunct w:val="0"/>
        <w:bidi w:val="0"/>
        <w:snapToGrid/>
        <w:spacing w:line="460" w:lineRule="exact"/>
        <w:ind w:left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b/>
          <w:bCs/>
          <w:color w:val="auto"/>
          <w:sz w:val="24"/>
          <w:szCs w:val="24"/>
          <w:u w:val="single"/>
          <w:lang w:val="en-US" w:eastAsia="zh-CN"/>
        </w:rPr>
        <w:t>直接选定</w:t>
      </w:r>
      <w:r>
        <w:rPr>
          <w:rStyle w:val="19"/>
          <w:rFonts w:hint="eastAsia" w:ascii="仿宋" w:hAnsi="仿宋" w:eastAsia="仿宋" w:cs="仿宋"/>
          <w:color w:val="auto"/>
          <w:sz w:val="24"/>
          <w:szCs w:val="24"/>
          <w:lang w:val="en-US" w:eastAsia="zh-CN"/>
        </w:rPr>
        <w:t>是确定第二阶段成交供应商的主要方式，由采购人或者服务对象依据入围产品价格、质量以及服务便利性、用户评价等因素，从第一阶段入围供应商中直接选定。第一阶段入围供应商的协议价格（有量价关系折扣的，包括量价关系折扣）是采购人确定第二阶段成交供应商的最高限价。</w:t>
      </w:r>
    </w:p>
    <w:p>
      <w:pPr>
        <w:pageBreakBefore w:val="0"/>
        <w:widowControl w:val="0"/>
        <w:numPr>
          <w:ilvl w:val="0"/>
          <w:numId w:val="0"/>
        </w:numPr>
        <w:kinsoku/>
        <w:wordWrap/>
        <w:overflowPunct/>
        <w:topLinePunct w:val="0"/>
        <w:bidi w:val="0"/>
        <w:snapToGrid/>
        <w:spacing w:line="460" w:lineRule="exact"/>
        <w:ind w:left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b/>
          <w:bCs/>
          <w:color w:val="auto"/>
          <w:sz w:val="24"/>
          <w:szCs w:val="24"/>
          <w:u w:val="single"/>
          <w:lang w:val="en-US" w:eastAsia="zh-CN"/>
        </w:rPr>
        <w:t>二次竞价</w:t>
      </w:r>
      <w:r>
        <w:rPr>
          <w:rStyle w:val="19"/>
          <w:rFonts w:hint="eastAsia" w:ascii="仿宋" w:hAnsi="仿宋" w:eastAsia="仿宋" w:cs="仿宋"/>
          <w:color w:val="auto"/>
          <w:sz w:val="24"/>
          <w:szCs w:val="24"/>
          <w:lang w:val="en-US" w:eastAsia="zh-CN"/>
        </w:rPr>
        <w:t>是指以框架协议约定的入围产品、采购合同文本等为依据，以协议价格为最高限价，采购人明确第二阶段竞价需求，从入围供应商中选择所有符合竞价需求的供应商参与二次竞价，确定报价最低的为成交供应商的方式。</w:t>
      </w:r>
    </w:p>
    <w:p>
      <w:pPr>
        <w:bidi w:val="0"/>
        <w:rPr>
          <w:rFonts w:hint="eastAsia" w:ascii="仿宋" w:hAnsi="仿宋" w:eastAsia="仿宋" w:cs="仿宋"/>
          <w:lang w:val="en-US" w:eastAsia="zh-CN"/>
        </w:rPr>
      </w:pPr>
    </w:p>
    <w:p>
      <w:pPr>
        <w:pageBreakBefore w:val="0"/>
        <w:widowControl w:val="0"/>
        <w:numPr>
          <w:ilvl w:val="0"/>
          <w:numId w:val="7"/>
        </w:numPr>
        <w:kinsoku/>
        <w:wordWrap/>
        <w:overflowPunct/>
        <w:topLinePunct w:val="0"/>
        <w:bidi w:val="0"/>
        <w:snapToGrid/>
        <w:spacing w:line="460" w:lineRule="exact"/>
        <w:ind w:left="425" w:leftChars="0" w:hanging="42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采购人在确定成交供应商后，双方应当按照框架协议中规定的“采购合同文本”格式签订电子采购合同，不得擅自改变框架协议约定的合同实质性条款。</w:t>
      </w:r>
    </w:p>
    <w:p>
      <w:pPr>
        <w:pStyle w:val="4"/>
        <w:pageBreakBefore w:val="0"/>
        <w:widowControl w:val="0"/>
        <w:numPr>
          <w:ilvl w:val="0"/>
          <w:numId w:val="4"/>
        </w:numPr>
        <w:kinsoku/>
        <w:wordWrap/>
        <w:overflowPunct/>
        <w:topLinePunct w:val="0"/>
        <w:bidi w:val="0"/>
        <w:snapToGrid/>
        <w:spacing w:before="0" w:after="0"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支付</w:t>
      </w:r>
      <w:bookmarkEnd w:id="27"/>
    </w:p>
    <w:p>
      <w:pPr>
        <w:pageBreakBefore w:val="0"/>
        <w:widowControl w:val="0"/>
        <w:numPr>
          <w:ilvl w:val="0"/>
          <w:numId w:val="0"/>
        </w:numPr>
        <w:kinsoku/>
        <w:wordWrap/>
        <w:overflowPunct/>
        <w:topLinePunct w:val="0"/>
        <w:bidi w:val="0"/>
        <w:snapToGrid/>
        <w:spacing w:line="460" w:lineRule="exact"/>
        <w:ind w:leftChars="0"/>
        <w:textAlignment w:val="auto"/>
        <w:rPr>
          <w:rStyle w:val="19"/>
          <w:rFonts w:hint="eastAsia" w:ascii="仿宋" w:hAnsi="仿宋" w:eastAsia="仿宋" w:cs="仿宋"/>
          <w:color w:val="auto"/>
          <w:sz w:val="24"/>
          <w:szCs w:val="24"/>
          <w:lang w:val="en-US" w:eastAsia="zh-CN"/>
        </w:rPr>
      </w:pPr>
      <w:bookmarkStart w:id="28" w:name="_Toc6229"/>
      <w:bookmarkStart w:id="29" w:name="_Toc21979"/>
      <w:r>
        <w:rPr>
          <w:rStyle w:val="19"/>
          <w:rFonts w:hint="eastAsia" w:ascii="仿宋" w:hAnsi="仿宋" w:eastAsia="仿宋" w:cs="仿宋"/>
          <w:color w:val="auto"/>
          <w:sz w:val="24"/>
          <w:szCs w:val="24"/>
          <w:lang w:val="en-US" w:eastAsia="zh-CN"/>
        </w:rPr>
        <w:t>（一）支付方式：按照采购合同约定的方式支付价款。采购合同对支付方式不明确的，按照有利于实现政府采购合同目的的方式履行。</w:t>
      </w:r>
    </w:p>
    <w:p>
      <w:pPr>
        <w:pageBreakBefore w:val="0"/>
        <w:widowControl w:val="0"/>
        <w:numPr>
          <w:ilvl w:val="0"/>
          <w:numId w:val="0"/>
        </w:numPr>
        <w:kinsoku/>
        <w:wordWrap/>
        <w:overflowPunct/>
        <w:topLinePunct w:val="0"/>
        <w:bidi w:val="0"/>
        <w:snapToGrid/>
        <w:spacing w:line="460" w:lineRule="exact"/>
        <w:ind w:left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（二）支付时间：第二阶段采购人应该按照采购合同约定的时间支付价款。约定不明确的，采购人可以随时支付，乙方可以随时请求支付，但应该给采购人必要的准备时间以满足财政资金支付条件。</w:t>
      </w:r>
    </w:p>
    <w:p>
      <w:pPr>
        <w:pageBreakBefore w:val="0"/>
        <w:widowControl w:val="0"/>
        <w:numPr>
          <w:ilvl w:val="0"/>
          <w:numId w:val="0"/>
        </w:numPr>
        <w:kinsoku/>
        <w:wordWrap/>
        <w:overflowPunct/>
        <w:topLinePunct w:val="0"/>
        <w:bidi w:val="0"/>
        <w:snapToGrid/>
        <w:spacing w:line="460" w:lineRule="exact"/>
        <w:ind w:left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（三）支付条件：按照采购合同约定的支付条件支付价款。采购合同约定不得违反国家有关财政资金支付管理的规定。</w:t>
      </w:r>
    </w:p>
    <w:p>
      <w:pPr>
        <w:pStyle w:val="4"/>
        <w:pageBreakBefore w:val="0"/>
        <w:widowControl w:val="0"/>
        <w:numPr>
          <w:ilvl w:val="0"/>
          <w:numId w:val="4"/>
        </w:numPr>
        <w:kinsoku/>
        <w:wordWrap/>
        <w:overflowPunct/>
        <w:topLinePunct w:val="0"/>
        <w:bidi w:val="0"/>
        <w:snapToGrid/>
        <w:spacing w:before="0" w:after="0"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入围供应商的清退和补充</w:t>
      </w:r>
      <w:bookmarkEnd w:id="28"/>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b/>
          <w:bCs/>
          <w:color w:val="auto"/>
          <w:sz w:val="24"/>
          <w:szCs w:val="24"/>
          <w:lang w:val="en-US" w:eastAsia="zh-CN"/>
        </w:rPr>
      </w:pPr>
      <w:r>
        <w:rPr>
          <w:rStyle w:val="19"/>
          <w:rFonts w:hint="eastAsia" w:ascii="仿宋" w:hAnsi="仿宋" w:eastAsia="仿宋" w:cs="仿宋"/>
          <w:b/>
          <w:bCs/>
          <w:color w:val="auto"/>
          <w:sz w:val="24"/>
          <w:szCs w:val="24"/>
          <w:lang w:val="en-US" w:eastAsia="zh-CN"/>
        </w:rPr>
        <w:t>（一）入围供应商的清退</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b/>
          <w:bCs/>
          <w:color w:val="auto"/>
          <w:sz w:val="24"/>
          <w:szCs w:val="24"/>
          <w:lang w:val="en-US" w:eastAsia="zh-CN"/>
        </w:rPr>
        <w:t>1.依法清退。</w:t>
      </w:r>
      <w:r>
        <w:rPr>
          <w:rStyle w:val="19"/>
          <w:rFonts w:hint="eastAsia" w:ascii="仿宋" w:hAnsi="仿宋" w:eastAsia="仿宋" w:cs="仿宋"/>
          <w:color w:val="auto"/>
          <w:sz w:val="24"/>
          <w:szCs w:val="24"/>
          <w:lang w:val="en-US" w:eastAsia="zh-CN"/>
        </w:rPr>
        <w:t>入围供应商有下列情形之一，尚未签订框架协议的，取消其入围资格;已经签订框架协议的，解除与其签订的框架协议：</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（1）恶意串通谋取入围或者合同成交的；</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（2）提供虚假材料谋取入围或者合同成交的；</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（3）无正当理由拒不接受合同授予的；</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（4）不履行合同义务或者履行合同义务不符合约定，经采购人请求履行后仍不履行或者仍未按约定履行的；</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（5）框架协议有效期内，因违法行为被禁止或限制参加政府采购活动的；</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b/>
          <w:bCs/>
          <w:color w:val="auto"/>
          <w:sz w:val="24"/>
          <w:szCs w:val="24"/>
          <w:lang w:val="en-US" w:eastAsia="zh-CN"/>
        </w:rPr>
        <w:t>2.依协议清退。</w:t>
      </w:r>
      <w:r>
        <w:rPr>
          <w:rStyle w:val="19"/>
          <w:rFonts w:hint="eastAsia" w:ascii="仿宋" w:hAnsi="仿宋" w:eastAsia="仿宋" w:cs="仿宋"/>
          <w:color w:val="auto"/>
          <w:sz w:val="24"/>
          <w:szCs w:val="24"/>
          <w:lang w:val="en-US" w:eastAsia="zh-CN"/>
        </w:rPr>
        <w:t>入围供应商有以下情形之一的，甲方有权取消其入围资格：</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（1）在协议有效期内，乙方不再满足征集公告要求的；</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（2）乙方拒绝接受甲方检查或提供虚假资料的；</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（3）在履约情况检查过程中，发现乙方违反本协议的；</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（4）订立采购合同后，乙方因自身原因故意拖延或拒绝签订合同或签订合同后故意拖延或拒绝履约的；</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（5）乙方严重违反本协议，在甲方通知其纠正的限期内未能纠正的；</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（6）乙方采用不正当竞争手段谋取采购合同订立的；</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（7）乙方向甲方或采购人有关工作人员行贿或提供其它不正当利益的；</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（8）因乙方原因影响本协议无法履行或终止的；</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（9）乙方存在以下情形并经调查属实的：</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①乙方超出响应文件的承诺范围收取费用的；</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②乙方向用户提供的服务，质量明显不满足采购合同、征集文件、乙方响应文件和本协议规定标准的；</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③乙方向用户提供的产品价格明显高于市场同类产品价格的；</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④乙方其它违反本协议规定的行为。</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b/>
          <w:bCs/>
          <w:color w:val="auto"/>
          <w:sz w:val="24"/>
          <w:szCs w:val="24"/>
          <w:lang w:val="en-US" w:eastAsia="zh-CN"/>
        </w:rPr>
      </w:pPr>
      <w:r>
        <w:rPr>
          <w:rStyle w:val="19"/>
          <w:rFonts w:hint="eastAsia" w:ascii="仿宋" w:hAnsi="仿宋" w:eastAsia="仿宋" w:cs="仿宋"/>
          <w:b/>
          <w:bCs/>
          <w:color w:val="auto"/>
          <w:sz w:val="24"/>
          <w:szCs w:val="24"/>
          <w:lang w:val="en-US" w:eastAsia="zh-CN"/>
        </w:rPr>
        <w:t>（二）入围供应商的补充征集</w:t>
      </w:r>
    </w:p>
    <w:p>
      <w:pPr>
        <w:pageBreakBefore w:val="0"/>
        <w:widowControl w:val="0"/>
        <w:numPr>
          <w:ilvl w:val="0"/>
          <w:numId w:val="8"/>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补充征集条件。除剩余入围供应商不足入围供应商总数70%且影响框架协议执行的情形外，框架协议有效期内，征集人不得补充征集供应商。</w:t>
      </w:r>
    </w:p>
    <w:p>
      <w:pPr>
        <w:pageBreakBefore w:val="0"/>
        <w:widowControl w:val="0"/>
        <w:numPr>
          <w:ilvl w:val="0"/>
          <w:numId w:val="8"/>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补充征集规则。</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（1）补充征集将发布征集公告，补充征集的条件、程序、评审方法和淘汰比例应当与初次征集相同。</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（2）补充征集应当遵守原框架协议的有效期。</w:t>
      </w:r>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32"/>
          <w:szCs w:val="32"/>
          <w:lang w:val="en-US" w:eastAsia="zh-CN"/>
        </w:rPr>
      </w:pPr>
      <w:r>
        <w:rPr>
          <w:rStyle w:val="19"/>
          <w:rFonts w:hint="eastAsia" w:ascii="仿宋" w:hAnsi="仿宋" w:eastAsia="仿宋" w:cs="仿宋"/>
          <w:color w:val="auto"/>
          <w:sz w:val="24"/>
          <w:szCs w:val="24"/>
          <w:lang w:val="en-US" w:eastAsia="zh-CN"/>
        </w:rPr>
        <w:t>（3）补充征集期间，原框架协议继续履行。</w:t>
      </w:r>
    </w:p>
    <w:p>
      <w:pPr>
        <w:pStyle w:val="4"/>
        <w:pageBreakBefore w:val="0"/>
        <w:widowControl w:val="0"/>
        <w:numPr>
          <w:ilvl w:val="0"/>
          <w:numId w:val="4"/>
        </w:numPr>
        <w:kinsoku/>
        <w:wordWrap/>
        <w:overflowPunct/>
        <w:topLinePunct w:val="0"/>
        <w:bidi w:val="0"/>
        <w:snapToGrid/>
        <w:spacing w:before="0" w:after="0"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双方权利义务</w:t>
      </w:r>
      <w:bookmarkEnd w:id="29"/>
    </w:p>
    <w:p>
      <w:pPr>
        <w:pageBreakBefore w:val="0"/>
        <w:widowControl w:val="0"/>
        <w:numPr>
          <w:ilvl w:val="0"/>
          <w:numId w:val="9"/>
        </w:numPr>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甲方的权利义务</w:t>
      </w:r>
    </w:p>
    <w:p>
      <w:pPr>
        <w:pStyle w:val="6"/>
        <w:pageBreakBefore w:val="0"/>
        <w:widowControl w:val="0"/>
        <w:numPr>
          <w:ilvl w:val="0"/>
          <w:numId w:val="10"/>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甲方依法组织实施框架协议采购活动，并严格遵循公开透明、公平竞争、公正和诚实信用原则。</w:t>
      </w:r>
    </w:p>
    <w:p>
      <w:pPr>
        <w:pStyle w:val="6"/>
        <w:pageBreakBefore w:val="0"/>
        <w:widowControl w:val="0"/>
        <w:numPr>
          <w:ilvl w:val="0"/>
          <w:numId w:val="10"/>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甲方为第二阶段合同授予提供必要的工作便利。</w:t>
      </w:r>
    </w:p>
    <w:p>
      <w:pPr>
        <w:pStyle w:val="6"/>
        <w:pageBreakBefore w:val="0"/>
        <w:widowControl w:val="0"/>
        <w:numPr>
          <w:ilvl w:val="0"/>
          <w:numId w:val="10"/>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甲方应根据国家法律法规规定及政策要求、主管部门要求、采购人反馈以及行业市场变化等情况适时调整本协议相关内容。</w:t>
      </w:r>
    </w:p>
    <w:p>
      <w:pPr>
        <w:pStyle w:val="6"/>
        <w:pageBreakBefore w:val="0"/>
        <w:widowControl w:val="0"/>
        <w:numPr>
          <w:ilvl w:val="0"/>
          <w:numId w:val="10"/>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甲方对采购人不按时支付乙方合同款不承担任何责任。</w:t>
      </w:r>
    </w:p>
    <w:p>
      <w:pPr>
        <w:pStyle w:val="6"/>
        <w:pageBreakBefore w:val="0"/>
        <w:widowControl w:val="0"/>
        <w:numPr>
          <w:ilvl w:val="0"/>
          <w:numId w:val="10"/>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甲方对乙方在框架协议采购活动中的行为进行管理，并按法律法规规定公开包括但不限于征集文件、入围信息以及第二阶段确定成交供应商情况等信息。</w:t>
      </w:r>
    </w:p>
    <w:p>
      <w:pPr>
        <w:pStyle w:val="6"/>
        <w:pageBreakBefore w:val="0"/>
        <w:widowControl w:val="0"/>
        <w:numPr>
          <w:ilvl w:val="0"/>
          <w:numId w:val="10"/>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甲方有权将乙方履行协议和政府采购合同相关情况向采购人或其他利害关系人公开，或按要求提供给相关主管部门。</w:t>
      </w:r>
    </w:p>
    <w:p>
      <w:pPr>
        <w:pStyle w:val="6"/>
        <w:pageBreakBefore w:val="0"/>
        <w:widowControl w:val="0"/>
        <w:numPr>
          <w:ilvl w:val="0"/>
          <w:numId w:val="10"/>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依据法律法规或者本协议相关规定，管理入围供应商资格。</w:t>
      </w:r>
    </w:p>
    <w:p>
      <w:pPr>
        <w:pStyle w:val="6"/>
        <w:pageBreakBefore w:val="0"/>
        <w:widowControl w:val="0"/>
        <w:numPr>
          <w:ilvl w:val="0"/>
          <w:numId w:val="10"/>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甲方保证依法履行此协议全部约定义务。</w:t>
      </w:r>
    </w:p>
    <w:p>
      <w:pPr>
        <w:pStyle w:val="6"/>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（二）乙方的权利义务</w:t>
      </w:r>
    </w:p>
    <w:p>
      <w:pPr>
        <w:pStyle w:val="6"/>
        <w:pageBreakBefore w:val="0"/>
        <w:widowControl w:val="0"/>
        <w:numPr>
          <w:ilvl w:val="0"/>
          <w:numId w:val="11"/>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乙方只有在与甲方签订本协议后，才获得与采购人订立采购合同的有效资格。</w:t>
      </w:r>
    </w:p>
    <w:p>
      <w:pPr>
        <w:pStyle w:val="6"/>
        <w:pageBreakBefore w:val="0"/>
        <w:widowControl w:val="0"/>
        <w:numPr>
          <w:ilvl w:val="0"/>
          <w:numId w:val="11"/>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严格执行国家法律法规，合法经营，诚实守信，自觉遵守本协议相关内容。</w:t>
      </w:r>
    </w:p>
    <w:p>
      <w:pPr>
        <w:pStyle w:val="6"/>
        <w:pageBreakBefore w:val="0"/>
        <w:widowControl w:val="0"/>
        <w:numPr>
          <w:ilvl w:val="0"/>
          <w:numId w:val="11"/>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入围供应商在约定期限内，应当以不高于其报价的价格向适用框架协议的采购人供应专用耗材。</w:t>
      </w:r>
    </w:p>
    <w:p>
      <w:pPr>
        <w:pStyle w:val="6"/>
        <w:pageBreakBefore w:val="0"/>
        <w:widowControl w:val="0"/>
        <w:numPr>
          <w:ilvl w:val="0"/>
          <w:numId w:val="11"/>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乙方严格按照本框架协议内容与采购人订立采购合同，维护采购人的利益。</w:t>
      </w:r>
    </w:p>
    <w:p>
      <w:pPr>
        <w:pStyle w:val="6"/>
        <w:pageBreakBefore w:val="0"/>
        <w:widowControl w:val="0"/>
        <w:numPr>
          <w:ilvl w:val="0"/>
          <w:numId w:val="11"/>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乙方提供的产品或服务应符合国家标准和响应文件要求，乙方提供的产品或者服务涉及的产品迭代、市场变化、政策调整等情况及时向甲方反馈。</w:t>
      </w:r>
    </w:p>
    <w:p>
      <w:pPr>
        <w:pStyle w:val="6"/>
        <w:pageBreakBefore w:val="0"/>
        <w:widowControl w:val="0"/>
        <w:numPr>
          <w:ilvl w:val="0"/>
          <w:numId w:val="11"/>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乙方同意接受并配合甲方的相关监督管理。</w:t>
      </w:r>
    </w:p>
    <w:p>
      <w:pPr>
        <w:numPr>
          <w:ilvl w:val="0"/>
          <w:numId w:val="11"/>
        </w:numPr>
        <w:bidi w:val="0"/>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乙方同意甲方为政府采购工作需要在相关政府采购业务网站、相关文件上或其他渠道公开发布乙方的协议价格、服务承诺及其它相关信息。</w:t>
      </w:r>
    </w:p>
    <w:p>
      <w:pPr>
        <w:pStyle w:val="6"/>
        <w:pageBreakBefore w:val="0"/>
        <w:widowControl w:val="0"/>
        <w:numPr>
          <w:ilvl w:val="0"/>
          <w:numId w:val="11"/>
        </w:numPr>
        <w:kinsoku/>
        <w:wordWrap/>
        <w:overflowPunct/>
        <w:topLinePunct w:val="0"/>
        <w:bidi w:val="0"/>
        <w:snapToGrid/>
        <w:spacing w:line="460" w:lineRule="exact"/>
        <w:ind w:left="5" w:leftChars="0" w:hanging="5" w:firstLineChars="0"/>
        <w:textAlignment w:val="auto"/>
        <w:rPr>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乙方同意本协议适用的采购人，包括但不限于武汉市直行政事业单位。</w:t>
      </w:r>
    </w:p>
    <w:p>
      <w:pPr>
        <w:pStyle w:val="6"/>
        <w:pageBreakBefore w:val="0"/>
        <w:widowControl w:val="0"/>
        <w:numPr>
          <w:ilvl w:val="0"/>
          <w:numId w:val="11"/>
        </w:numPr>
        <w:kinsoku/>
        <w:wordWrap/>
        <w:overflowPunct/>
        <w:topLinePunct w:val="0"/>
        <w:bidi w:val="0"/>
        <w:snapToGrid/>
        <w:spacing w:line="460" w:lineRule="exact"/>
        <w:ind w:left="5" w:leftChars="0" w:hanging="5" w:firstLineChars="0"/>
        <w:textAlignment w:val="auto"/>
        <w:rPr>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乙方有权拒绝甲方及采购人提出的除乙方承诺以外的其它违法要求。</w:t>
      </w:r>
    </w:p>
    <w:p>
      <w:pPr>
        <w:pStyle w:val="4"/>
        <w:pageBreakBefore w:val="0"/>
        <w:widowControl w:val="0"/>
        <w:numPr>
          <w:ilvl w:val="0"/>
          <w:numId w:val="4"/>
        </w:numPr>
        <w:kinsoku/>
        <w:wordWrap/>
        <w:overflowPunct/>
        <w:topLinePunct w:val="0"/>
        <w:bidi w:val="0"/>
        <w:snapToGrid/>
        <w:spacing w:before="0" w:after="0" w:line="460" w:lineRule="exact"/>
        <w:textAlignment w:val="auto"/>
        <w:rPr>
          <w:rStyle w:val="19"/>
          <w:rFonts w:hint="eastAsia" w:ascii="仿宋" w:hAnsi="仿宋" w:eastAsia="仿宋" w:cs="仿宋"/>
          <w:color w:val="auto"/>
          <w:sz w:val="24"/>
          <w:szCs w:val="24"/>
          <w:lang w:val="en-US" w:eastAsia="zh-CN"/>
        </w:rPr>
      </w:pPr>
      <w:bookmarkStart w:id="30" w:name="_Toc15050"/>
      <w:r>
        <w:rPr>
          <w:rStyle w:val="19"/>
          <w:rFonts w:hint="eastAsia" w:ascii="仿宋" w:hAnsi="仿宋" w:eastAsia="仿宋" w:cs="仿宋"/>
          <w:color w:val="auto"/>
          <w:sz w:val="24"/>
          <w:szCs w:val="24"/>
          <w:lang w:val="en-US" w:eastAsia="zh-CN"/>
        </w:rPr>
        <w:t>采购合同</w:t>
      </w:r>
      <w:bookmarkEnd w:id="30"/>
    </w:p>
    <w:p>
      <w:pPr>
        <w:pStyle w:val="6"/>
        <w:pageBreakBefore w:val="0"/>
        <w:widowControl w:val="0"/>
        <w:numPr>
          <w:ilvl w:val="0"/>
          <w:numId w:val="0"/>
        </w:numPr>
        <w:kinsoku/>
        <w:wordWrap/>
        <w:overflowPunct/>
        <w:topLinePunct w:val="0"/>
        <w:bidi w:val="0"/>
        <w:snapToGrid/>
        <w:spacing w:line="460" w:lineRule="exact"/>
        <w:ind w:left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 xml:space="preserve">乙方与采购人在本协议基础上就采购具体事宜订立采购合同，采购合同不得违反本协议内容。采购合同文本参见 </w:t>
      </w:r>
      <w:r>
        <w:rPr>
          <w:rStyle w:val="19"/>
          <w:rFonts w:hint="eastAsia" w:ascii="仿宋" w:hAnsi="仿宋" w:eastAsia="仿宋" w:cs="仿宋"/>
          <w:b/>
          <w:bCs/>
          <w:color w:val="auto"/>
          <w:sz w:val="24"/>
          <w:szCs w:val="24"/>
          <w:lang w:val="en-US" w:eastAsia="zh-CN"/>
        </w:rPr>
        <w:t>附件1采购合同文本</w:t>
      </w:r>
      <w:r>
        <w:rPr>
          <w:rStyle w:val="19"/>
          <w:rFonts w:hint="eastAsia" w:ascii="仿宋" w:hAnsi="仿宋" w:eastAsia="仿宋" w:cs="仿宋"/>
          <w:color w:val="auto"/>
          <w:sz w:val="24"/>
          <w:szCs w:val="24"/>
          <w:lang w:val="en-US" w:eastAsia="zh-CN"/>
        </w:rPr>
        <w:t>。</w:t>
      </w:r>
    </w:p>
    <w:p>
      <w:pPr>
        <w:pStyle w:val="4"/>
        <w:pageBreakBefore w:val="0"/>
        <w:widowControl w:val="0"/>
        <w:numPr>
          <w:ilvl w:val="0"/>
          <w:numId w:val="4"/>
        </w:numPr>
        <w:kinsoku/>
        <w:wordWrap/>
        <w:overflowPunct/>
        <w:topLinePunct w:val="0"/>
        <w:bidi w:val="0"/>
        <w:snapToGrid/>
        <w:spacing w:before="0" w:after="0" w:line="460" w:lineRule="exact"/>
        <w:textAlignment w:val="auto"/>
        <w:rPr>
          <w:rStyle w:val="19"/>
          <w:rFonts w:hint="eastAsia" w:ascii="仿宋" w:hAnsi="仿宋" w:eastAsia="仿宋" w:cs="仿宋"/>
          <w:color w:val="auto"/>
          <w:sz w:val="24"/>
          <w:szCs w:val="24"/>
          <w:lang w:val="en-US" w:eastAsia="zh-CN"/>
        </w:rPr>
      </w:pPr>
      <w:bookmarkStart w:id="31" w:name="_Toc13864"/>
      <w:bookmarkStart w:id="32" w:name="_Toc3957"/>
      <w:bookmarkStart w:id="33" w:name="_Toc22956"/>
      <w:r>
        <w:rPr>
          <w:rStyle w:val="19"/>
          <w:rFonts w:hint="eastAsia" w:ascii="仿宋" w:hAnsi="仿宋" w:eastAsia="仿宋" w:cs="仿宋"/>
          <w:color w:val="auto"/>
          <w:sz w:val="24"/>
          <w:szCs w:val="24"/>
          <w:lang w:val="en-US" w:eastAsia="zh-CN"/>
        </w:rPr>
        <w:t>协议有效期以及适用范围</w:t>
      </w:r>
      <w:bookmarkEnd w:id="31"/>
    </w:p>
    <w:p>
      <w:pPr>
        <w:pStyle w:val="6"/>
        <w:pageBreakBefore w:val="0"/>
        <w:widowControl w:val="0"/>
        <w:numPr>
          <w:ilvl w:val="0"/>
          <w:numId w:val="12"/>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协议有效期：框架协议签订之日起至2023年12月31日止。</w:t>
      </w:r>
    </w:p>
    <w:p>
      <w:pPr>
        <w:pStyle w:val="6"/>
        <w:pageBreakBefore w:val="0"/>
        <w:widowControl w:val="0"/>
        <w:numPr>
          <w:ilvl w:val="0"/>
          <w:numId w:val="12"/>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适用范围：武汉市市直各采购人（包括但不限于武汉市市直行政事业单位）采用框架协议采购方式的政府集中采购项目。采购人与第二阶段成交供应商订立采购合同应以本协议确定的内容为基础。</w:t>
      </w:r>
    </w:p>
    <w:bookmarkEnd w:id="32"/>
    <w:bookmarkEnd w:id="33"/>
    <w:p>
      <w:pPr>
        <w:pStyle w:val="4"/>
        <w:pageBreakBefore w:val="0"/>
        <w:widowControl w:val="0"/>
        <w:numPr>
          <w:ilvl w:val="0"/>
          <w:numId w:val="4"/>
        </w:numPr>
        <w:kinsoku/>
        <w:wordWrap/>
        <w:overflowPunct/>
        <w:topLinePunct w:val="0"/>
        <w:bidi w:val="0"/>
        <w:snapToGrid/>
        <w:spacing w:before="0" w:after="0" w:line="460" w:lineRule="exact"/>
        <w:textAlignment w:val="auto"/>
        <w:rPr>
          <w:rStyle w:val="19"/>
          <w:rFonts w:hint="eastAsia" w:ascii="仿宋" w:hAnsi="仿宋" w:eastAsia="仿宋" w:cs="仿宋"/>
          <w:color w:val="auto"/>
          <w:sz w:val="24"/>
          <w:szCs w:val="24"/>
          <w:lang w:val="en-US" w:eastAsia="zh-CN"/>
        </w:rPr>
      </w:pPr>
      <w:bookmarkStart w:id="34" w:name="_Toc32119"/>
      <w:bookmarkStart w:id="35" w:name="_Toc29135"/>
      <w:bookmarkStart w:id="36" w:name="_Toc3375"/>
      <w:r>
        <w:rPr>
          <w:rStyle w:val="19"/>
          <w:rFonts w:hint="eastAsia" w:ascii="仿宋" w:hAnsi="仿宋" w:eastAsia="仿宋" w:cs="仿宋"/>
          <w:color w:val="auto"/>
          <w:sz w:val="24"/>
          <w:szCs w:val="24"/>
          <w:lang w:val="en-US" w:eastAsia="zh-CN"/>
        </w:rPr>
        <w:t>不可抗力</w:t>
      </w:r>
      <w:bookmarkEnd w:id="34"/>
      <w:bookmarkEnd w:id="35"/>
      <w:bookmarkEnd w:id="36"/>
    </w:p>
    <w:p>
      <w:pPr>
        <w:pStyle w:val="6"/>
        <w:pageBreakBefore w:val="0"/>
        <w:widowControl w:val="0"/>
        <w:numPr>
          <w:ilvl w:val="0"/>
          <w:numId w:val="13"/>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协议一方由于受诸如战争、骚乱、瘟疫、严重火灾、洪水、台风、地震等不可抗力事件的影响而不能执行协议时，协议有效期应予以延长，延长的期限应相当于事故所影响的时间。不可抗力事件是指协议双方在缔结协议时所不能预见的，且它的发生及其后果是无法避免和无法克服的。</w:t>
      </w:r>
    </w:p>
    <w:p>
      <w:pPr>
        <w:pStyle w:val="6"/>
        <w:pageBreakBefore w:val="0"/>
        <w:widowControl w:val="0"/>
        <w:numPr>
          <w:ilvl w:val="0"/>
          <w:numId w:val="13"/>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遭受不可抗力一方应在不可抗力事件发生后尽快以书面形式通知对方，并于事件发生后及时将不可抗力对履行协议影响程度的说明用特快专递或挂号信寄给对方。</w:t>
      </w:r>
    </w:p>
    <w:p>
      <w:pPr>
        <w:pStyle w:val="6"/>
        <w:pageBreakBefore w:val="0"/>
        <w:widowControl w:val="0"/>
        <w:numPr>
          <w:ilvl w:val="0"/>
          <w:numId w:val="13"/>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发生不可抗力时，任何一方均不对因不可抗力无法履行或延迟履行本协议义务而使另一方蒙受损失承担责任，但遭受不可抗力一方有责任尽可能及时采取适当或必要措施减少或消除不可抗力的影响。遭受不可抗力的一方对因未尽本项义务而造成的损失承担赔偿责任。</w:t>
      </w:r>
    </w:p>
    <w:p>
      <w:pPr>
        <w:pStyle w:val="6"/>
        <w:pageBreakBefore w:val="0"/>
        <w:widowControl w:val="0"/>
        <w:numPr>
          <w:ilvl w:val="0"/>
          <w:numId w:val="13"/>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一旦不可抗力事件的影响持续120天以上，协议双方通过友好协商，在合理的时间内达成进一步履行协议或终止协议的意见。</w:t>
      </w:r>
    </w:p>
    <w:p>
      <w:pPr>
        <w:pStyle w:val="4"/>
        <w:pageBreakBefore w:val="0"/>
        <w:widowControl w:val="0"/>
        <w:numPr>
          <w:ilvl w:val="0"/>
          <w:numId w:val="4"/>
        </w:numPr>
        <w:kinsoku/>
        <w:wordWrap/>
        <w:overflowPunct/>
        <w:topLinePunct w:val="0"/>
        <w:bidi w:val="0"/>
        <w:snapToGrid/>
        <w:spacing w:before="0" w:after="0" w:line="460" w:lineRule="exact"/>
        <w:textAlignment w:val="auto"/>
        <w:rPr>
          <w:rStyle w:val="19"/>
          <w:rFonts w:hint="eastAsia" w:ascii="仿宋" w:hAnsi="仿宋" w:eastAsia="仿宋" w:cs="仿宋"/>
          <w:color w:val="auto"/>
          <w:sz w:val="24"/>
          <w:szCs w:val="24"/>
          <w:lang w:val="en-US" w:eastAsia="zh-CN"/>
        </w:rPr>
      </w:pPr>
      <w:bookmarkStart w:id="37" w:name="_Toc26525"/>
      <w:bookmarkStart w:id="38" w:name="_Toc1329"/>
      <w:bookmarkStart w:id="39" w:name="_Toc4993"/>
      <w:r>
        <w:rPr>
          <w:rStyle w:val="19"/>
          <w:rFonts w:hint="eastAsia" w:ascii="仿宋" w:hAnsi="仿宋" w:eastAsia="仿宋" w:cs="仿宋"/>
          <w:color w:val="auto"/>
          <w:sz w:val="24"/>
          <w:szCs w:val="24"/>
          <w:lang w:val="en-US" w:eastAsia="zh-CN"/>
        </w:rPr>
        <w:t>保密条款</w:t>
      </w:r>
      <w:bookmarkEnd w:id="37"/>
      <w:bookmarkEnd w:id="38"/>
      <w:bookmarkEnd w:id="39"/>
    </w:p>
    <w:p>
      <w:pPr>
        <w:pStyle w:val="6"/>
        <w:pageBreakBefore w:val="0"/>
        <w:widowControl w:val="0"/>
        <w:numPr>
          <w:ilvl w:val="0"/>
          <w:numId w:val="14"/>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任何一方对其获知的本协议涉及的所有有形、无形的信息及资料（包括但不限于甲乙双方的往来书面文件、电子邮件及信息、软盘资料等）中另一方的商业秘密（法律法规规定应予公开的信息除外）或国家秘密负有保密义务。</w:t>
      </w:r>
    </w:p>
    <w:p>
      <w:pPr>
        <w:pStyle w:val="6"/>
        <w:pageBreakBefore w:val="0"/>
        <w:widowControl w:val="0"/>
        <w:numPr>
          <w:ilvl w:val="0"/>
          <w:numId w:val="14"/>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除法律、法规或本协议另有规定，或得到本协议另一方的书面许可外，任何一方不得向第三方泄露前款规定的商业秘密或国家秘密。保密期限自任何一方获知该商业秘密或国家秘密之日起至本条规定的秘密成为公众信息之日止。</w:t>
      </w:r>
    </w:p>
    <w:p>
      <w:pPr>
        <w:pStyle w:val="4"/>
        <w:pageBreakBefore w:val="0"/>
        <w:widowControl w:val="0"/>
        <w:numPr>
          <w:ilvl w:val="0"/>
          <w:numId w:val="4"/>
        </w:numPr>
        <w:kinsoku/>
        <w:wordWrap/>
        <w:overflowPunct/>
        <w:topLinePunct w:val="0"/>
        <w:bidi w:val="0"/>
        <w:snapToGrid/>
        <w:spacing w:before="0" w:after="0" w:line="460" w:lineRule="exact"/>
        <w:textAlignment w:val="auto"/>
        <w:rPr>
          <w:rStyle w:val="19"/>
          <w:rFonts w:hint="eastAsia" w:ascii="仿宋" w:hAnsi="仿宋" w:eastAsia="仿宋" w:cs="仿宋"/>
          <w:color w:val="auto"/>
          <w:sz w:val="24"/>
          <w:szCs w:val="24"/>
          <w:lang w:val="en-US" w:eastAsia="zh-CN"/>
        </w:rPr>
      </w:pPr>
      <w:bookmarkStart w:id="40" w:name="_Toc1262"/>
      <w:bookmarkStart w:id="41" w:name="_Toc413"/>
      <w:bookmarkStart w:id="42" w:name="_Toc31859"/>
      <w:r>
        <w:rPr>
          <w:rStyle w:val="19"/>
          <w:rFonts w:hint="eastAsia" w:ascii="仿宋" w:hAnsi="仿宋" w:eastAsia="仿宋" w:cs="仿宋"/>
          <w:color w:val="auto"/>
          <w:sz w:val="24"/>
          <w:szCs w:val="24"/>
          <w:lang w:val="en-US" w:eastAsia="zh-CN"/>
        </w:rPr>
        <w:t>争议的解决</w:t>
      </w:r>
      <w:bookmarkEnd w:id="40"/>
      <w:bookmarkEnd w:id="41"/>
      <w:bookmarkEnd w:id="42"/>
    </w:p>
    <w:p>
      <w:pPr>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rPr>
      </w:pPr>
      <w:r>
        <w:rPr>
          <w:rStyle w:val="19"/>
          <w:rFonts w:hint="eastAsia" w:ascii="仿宋" w:hAnsi="仿宋" w:eastAsia="仿宋" w:cs="仿宋"/>
          <w:color w:val="auto"/>
          <w:sz w:val="24"/>
          <w:szCs w:val="24"/>
        </w:rPr>
        <w:t>在执行本协议中发生的与本协议有关的争端，甲乙双方应通过友好协商解决，经协商在60天内不能达成协议时，甲乙双方同意将争议提交有管辖权的人民法院解决。</w:t>
      </w:r>
    </w:p>
    <w:p>
      <w:pPr>
        <w:pStyle w:val="4"/>
        <w:pageBreakBefore w:val="0"/>
        <w:widowControl w:val="0"/>
        <w:numPr>
          <w:ilvl w:val="0"/>
          <w:numId w:val="4"/>
        </w:numPr>
        <w:kinsoku/>
        <w:wordWrap/>
        <w:overflowPunct/>
        <w:topLinePunct w:val="0"/>
        <w:bidi w:val="0"/>
        <w:snapToGrid/>
        <w:spacing w:before="0" w:after="0" w:line="460" w:lineRule="exact"/>
        <w:textAlignment w:val="auto"/>
        <w:rPr>
          <w:rStyle w:val="19"/>
          <w:rFonts w:hint="eastAsia" w:ascii="仿宋" w:hAnsi="仿宋" w:eastAsia="仿宋" w:cs="仿宋"/>
          <w:color w:val="auto"/>
          <w:sz w:val="24"/>
          <w:szCs w:val="24"/>
          <w:lang w:val="en-US" w:eastAsia="zh-CN"/>
        </w:rPr>
      </w:pPr>
      <w:bookmarkStart w:id="43" w:name="_Toc13507"/>
      <w:bookmarkStart w:id="44" w:name="_Toc19151"/>
      <w:bookmarkStart w:id="45" w:name="_Toc28601"/>
      <w:r>
        <w:rPr>
          <w:rStyle w:val="19"/>
          <w:rFonts w:hint="eastAsia" w:ascii="仿宋" w:hAnsi="仿宋" w:eastAsia="仿宋" w:cs="仿宋"/>
          <w:color w:val="auto"/>
          <w:sz w:val="24"/>
          <w:szCs w:val="24"/>
          <w:lang w:val="en-US" w:eastAsia="zh-CN"/>
        </w:rPr>
        <w:t>协议的解释</w:t>
      </w:r>
      <w:bookmarkEnd w:id="43"/>
      <w:bookmarkEnd w:id="44"/>
      <w:bookmarkEnd w:id="45"/>
    </w:p>
    <w:p>
      <w:pPr>
        <w:pStyle w:val="6"/>
        <w:pageBreakBefore w:val="0"/>
        <w:widowControl w:val="0"/>
        <w:numPr>
          <w:ilvl w:val="0"/>
          <w:numId w:val="15"/>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任何一方对本协议及其附件的解释均应遵循诚实信用原则，依照本协议签订时有效的国家法律、法规以及人们通常的理解进行。</w:t>
      </w:r>
    </w:p>
    <w:p>
      <w:pPr>
        <w:pStyle w:val="6"/>
        <w:pageBreakBefore w:val="0"/>
        <w:widowControl w:val="0"/>
        <w:numPr>
          <w:ilvl w:val="0"/>
          <w:numId w:val="15"/>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本协议中以日表述的时间期限均指公历日。</w:t>
      </w:r>
    </w:p>
    <w:p>
      <w:pPr>
        <w:pStyle w:val="4"/>
        <w:pageBreakBefore w:val="0"/>
        <w:widowControl w:val="0"/>
        <w:numPr>
          <w:ilvl w:val="0"/>
          <w:numId w:val="4"/>
        </w:numPr>
        <w:kinsoku/>
        <w:wordWrap/>
        <w:overflowPunct/>
        <w:topLinePunct w:val="0"/>
        <w:bidi w:val="0"/>
        <w:snapToGrid/>
        <w:spacing w:before="0" w:after="0" w:line="460" w:lineRule="exact"/>
        <w:textAlignment w:val="auto"/>
        <w:rPr>
          <w:rStyle w:val="19"/>
          <w:rFonts w:hint="eastAsia" w:ascii="仿宋" w:hAnsi="仿宋" w:eastAsia="仿宋" w:cs="仿宋"/>
          <w:color w:val="auto"/>
          <w:sz w:val="24"/>
          <w:szCs w:val="24"/>
          <w:lang w:val="en-US" w:eastAsia="zh-CN"/>
        </w:rPr>
      </w:pPr>
      <w:bookmarkStart w:id="46" w:name="_Toc9495"/>
      <w:bookmarkStart w:id="47" w:name="_Toc19779"/>
      <w:bookmarkStart w:id="48" w:name="_Toc15820"/>
      <w:r>
        <w:rPr>
          <w:rStyle w:val="19"/>
          <w:rFonts w:hint="eastAsia" w:ascii="仿宋" w:hAnsi="仿宋" w:eastAsia="仿宋" w:cs="仿宋"/>
          <w:color w:val="auto"/>
          <w:sz w:val="24"/>
          <w:szCs w:val="24"/>
          <w:lang w:val="en-US" w:eastAsia="zh-CN"/>
        </w:rPr>
        <w:t>协议修改</w:t>
      </w:r>
      <w:bookmarkEnd w:id="46"/>
      <w:bookmarkEnd w:id="47"/>
      <w:bookmarkEnd w:id="48"/>
    </w:p>
    <w:p>
      <w:pPr>
        <w:pStyle w:val="6"/>
        <w:pageBreakBefore w:val="0"/>
        <w:widowControl w:val="0"/>
        <w:numPr>
          <w:ilvl w:val="0"/>
          <w:numId w:val="16"/>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对于本协议的未尽事宜，需进行修改、补充或完善的，甲乙双方必须就所修改的内容签订补充协议。</w:t>
      </w:r>
    </w:p>
    <w:p>
      <w:pPr>
        <w:pStyle w:val="6"/>
        <w:pageBreakBefore w:val="0"/>
        <w:widowControl w:val="0"/>
        <w:numPr>
          <w:ilvl w:val="0"/>
          <w:numId w:val="16"/>
        </w:numPr>
        <w:kinsoku/>
        <w:wordWrap/>
        <w:overflowPunct/>
        <w:topLinePunct w:val="0"/>
        <w:bidi w:val="0"/>
        <w:snapToGrid/>
        <w:spacing w:line="460" w:lineRule="exact"/>
        <w:ind w:left="5"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补充协议与本协议具有同等法律效力，补充协议与本协议不一致的，以补充协议为准。</w:t>
      </w:r>
    </w:p>
    <w:p>
      <w:pPr>
        <w:pStyle w:val="4"/>
        <w:pageBreakBefore w:val="0"/>
        <w:widowControl w:val="0"/>
        <w:numPr>
          <w:ilvl w:val="0"/>
          <w:numId w:val="4"/>
        </w:numPr>
        <w:kinsoku/>
        <w:wordWrap/>
        <w:overflowPunct/>
        <w:topLinePunct w:val="0"/>
        <w:bidi w:val="0"/>
        <w:snapToGrid/>
        <w:spacing w:before="0" w:after="0" w:line="460" w:lineRule="exact"/>
        <w:textAlignment w:val="auto"/>
        <w:rPr>
          <w:rStyle w:val="19"/>
          <w:rFonts w:hint="eastAsia" w:ascii="仿宋" w:hAnsi="仿宋" w:eastAsia="仿宋" w:cs="仿宋"/>
          <w:color w:val="auto"/>
          <w:sz w:val="24"/>
          <w:szCs w:val="24"/>
          <w:lang w:val="en-US" w:eastAsia="zh-CN"/>
        </w:rPr>
      </w:pPr>
      <w:bookmarkStart w:id="49" w:name="_Toc2426"/>
      <w:bookmarkStart w:id="50" w:name="_Toc19182"/>
      <w:bookmarkStart w:id="51" w:name="_Toc8060"/>
      <w:r>
        <w:rPr>
          <w:rStyle w:val="19"/>
          <w:rFonts w:hint="eastAsia" w:ascii="仿宋" w:hAnsi="仿宋" w:eastAsia="仿宋" w:cs="仿宋"/>
          <w:color w:val="auto"/>
          <w:sz w:val="24"/>
          <w:szCs w:val="24"/>
          <w:lang w:val="en-US" w:eastAsia="zh-CN"/>
        </w:rPr>
        <w:t>协议生效</w:t>
      </w:r>
      <w:bookmarkEnd w:id="49"/>
      <w:bookmarkEnd w:id="50"/>
      <w:bookmarkEnd w:id="51"/>
    </w:p>
    <w:p>
      <w:pPr>
        <w:pStyle w:val="6"/>
        <w:pageBreakBefore w:val="0"/>
        <w:widowControl w:val="0"/>
        <w:numPr>
          <w:ilvl w:val="0"/>
          <w:numId w:val="17"/>
        </w:numPr>
        <w:kinsoku/>
        <w:wordWrap/>
        <w:overflowPunct/>
        <w:topLinePunct w:val="0"/>
        <w:bidi w:val="0"/>
        <w:snapToGrid/>
        <w:spacing w:line="460" w:lineRule="exact"/>
        <w:ind w:left="425" w:leftChars="0" w:hanging="42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除非另有说明，本协议经甲乙双方加盖公章后，即开始生效。</w:t>
      </w:r>
    </w:p>
    <w:p>
      <w:pPr>
        <w:pStyle w:val="6"/>
        <w:pageBreakBefore w:val="0"/>
        <w:widowControl w:val="0"/>
        <w:numPr>
          <w:ilvl w:val="0"/>
          <w:numId w:val="17"/>
        </w:numPr>
        <w:kinsoku/>
        <w:wordWrap/>
        <w:overflowPunct/>
        <w:topLinePunct w:val="0"/>
        <w:bidi w:val="0"/>
        <w:snapToGrid/>
        <w:spacing w:line="460" w:lineRule="exact"/>
        <w:ind w:left="425" w:leftChars="0" w:hanging="42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本协议中的附件均为本协议不可分割的部分，与本协议具有同等的法律效力。</w:t>
      </w:r>
    </w:p>
    <w:p>
      <w:pPr>
        <w:pStyle w:val="4"/>
        <w:pageBreakBefore w:val="0"/>
        <w:widowControl w:val="0"/>
        <w:numPr>
          <w:ilvl w:val="0"/>
          <w:numId w:val="4"/>
        </w:numPr>
        <w:kinsoku/>
        <w:wordWrap/>
        <w:overflowPunct/>
        <w:topLinePunct w:val="0"/>
        <w:bidi w:val="0"/>
        <w:snapToGrid/>
        <w:spacing w:before="0" w:after="0" w:line="460" w:lineRule="exact"/>
        <w:textAlignment w:val="auto"/>
        <w:rPr>
          <w:rStyle w:val="19"/>
          <w:rFonts w:hint="eastAsia" w:ascii="仿宋" w:hAnsi="仿宋" w:eastAsia="仿宋" w:cs="仿宋"/>
          <w:color w:val="auto"/>
          <w:sz w:val="24"/>
          <w:szCs w:val="24"/>
          <w:lang w:val="en-US" w:eastAsia="zh-CN"/>
        </w:rPr>
      </w:pPr>
      <w:bookmarkStart w:id="52" w:name="_Toc21001"/>
      <w:bookmarkStart w:id="53" w:name="_Toc261"/>
      <w:bookmarkStart w:id="54" w:name="_Toc15363"/>
      <w:r>
        <w:rPr>
          <w:rStyle w:val="19"/>
          <w:rFonts w:hint="eastAsia" w:ascii="仿宋" w:hAnsi="仿宋" w:eastAsia="仿宋" w:cs="仿宋"/>
          <w:color w:val="auto"/>
          <w:sz w:val="24"/>
          <w:szCs w:val="24"/>
          <w:lang w:val="en-US" w:eastAsia="zh-CN"/>
        </w:rPr>
        <w:t>协议终止</w:t>
      </w:r>
      <w:bookmarkEnd w:id="52"/>
      <w:bookmarkEnd w:id="53"/>
      <w:bookmarkEnd w:id="54"/>
    </w:p>
    <w:p>
      <w:pPr>
        <w:pStyle w:val="6"/>
        <w:pageBreakBefore w:val="0"/>
        <w:widowControl w:val="0"/>
        <w:numPr>
          <w:ilvl w:val="0"/>
          <w:numId w:val="18"/>
        </w:numPr>
        <w:kinsoku/>
        <w:wordWrap/>
        <w:overflowPunct/>
        <w:topLinePunct w:val="0"/>
        <w:bidi w:val="0"/>
        <w:snapToGrid/>
        <w:spacing w:line="460" w:lineRule="exact"/>
        <w:ind w:left="0"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除本协议另有约定外，在有效期内任何一方不得擅自终止，否则应负担所造成的一切损失。如一方因故需终止合同，必须提前三个月书面通知另一方，经双方达成一致意见后，方可终止。</w:t>
      </w:r>
    </w:p>
    <w:p>
      <w:pPr>
        <w:pStyle w:val="6"/>
        <w:pageBreakBefore w:val="0"/>
        <w:widowControl w:val="0"/>
        <w:numPr>
          <w:ilvl w:val="0"/>
          <w:numId w:val="18"/>
        </w:numPr>
        <w:kinsoku/>
        <w:wordWrap/>
        <w:overflowPunct/>
        <w:topLinePunct w:val="0"/>
        <w:bidi w:val="0"/>
        <w:snapToGrid/>
        <w:spacing w:line="460" w:lineRule="exact"/>
        <w:ind w:left="0"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出现下列情况时本协议自行终止：</w:t>
      </w:r>
    </w:p>
    <w:p>
      <w:pPr>
        <w:pageBreakBefore w:val="0"/>
        <w:widowControl w:val="0"/>
        <w:kinsoku/>
        <w:wordWrap/>
        <w:overflowPunct/>
        <w:topLinePunct w:val="0"/>
        <w:bidi w:val="0"/>
        <w:snapToGrid/>
        <w:spacing w:line="460" w:lineRule="exact"/>
        <w:ind w:left="0" w:leftChars="0" w:hanging="5" w:firstLineChars="0"/>
        <w:textAlignment w:val="auto"/>
        <w:rPr>
          <w:rFonts w:hint="eastAsia" w:ascii="仿宋" w:hAnsi="仿宋" w:eastAsia="仿宋" w:cs="仿宋"/>
          <w:color w:val="auto"/>
          <w:sz w:val="24"/>
          <w:szCs w:val="24"/>
        </w:rPr>
      </w:pPr>
      <w:r>
        <w:rPr>
          <w:rStyle w:val="19"/>
          <w:rFonts w:hint="eastAsia" w:ascii="仿宋" w:hAnsi="仿宋" w:eastAsia="仿宋" w:cs="仿宋"/>
          <w:color w:val="auto"/>
          <w:sz w:val="24"/>
          <w:szCs w:val="24"/>
        </w:rPr>
        <w:t>（1）本协议正常履行完毕；</w:t>
      </w:r>
    </w:p>
    <w:p>
      <w:pPr>
        <w:pageBreakBefore w:val="0"/>
        <w:widowControl w:val="0"/>
        <w:kinsoku/>
        <w:wordWrap/>
        <w:overflowPunct/>
        <w:topLinePunct w:val="0"/>
        <w:bidi w:val="0"/>
        <w:snapToGrid/>
        <w:spacing w:line="460" w:lineRule="exact"/>
        <w:ind w:left="0" w:leftChars="0" w:hanging="5" w:firstLineChars="0"/>
        <w:textAlignment w:val="auto"/>
        <w:rPr>
          <w:rFonts w:hint="eastAsia" w:ascii="仿宋" w:hAnsi="仿宋" w:eastAsia="仿宋" w:cs="仿宋"/>
          <w:color w:val="auto"/>
          <w:sz w:val="24"/>
          <w:szCs w:val="24"/>
        </w:rPr>
      </w:pPr>
      <w:r>
        <w:rPr>
          <w:rStyle w:val="19"/>
          <w:rFonts w:hint="eastAsia" w:ascii="仿宋" w:hAnsi="仿宋" w:eastAsia="仿宋" w:cs="仿宋"/>
          <w:color w:val="auto"/>
          <w:sz w:val="24"/>
          <w:szCs w:val="24"/>
        </w:rPr>
        <w:t>（2）甲乙双方协议终止本协议的履行；</w:t>
      </w:r>
    </w:p>
    <w:p>
      <w:pPr>
        <w:pageBreakBefore w:val="0"/>
        <w:widowControl w:val="0"/>
        <w:kinsoku/>
        <w:wordWrap/>
        <w:overflowPunct/>
        <w:topLinePunct w:val="0"/>
        <w:bidi w:val="0"/>
        <w:snapToGrid/>
        <w:spacing w:line="460" w:lineRule="exact"/>
        <w:ind w:left="0" w:leftChars="0" w:hanging="5" w:firstLineChars="0"/>
        <w:textAlignment w:val="auto"/>
        <w:rPr>
          <w:rFonts w:hint="eastAsia" w:ascii="仿宋" w:hAnsi="仿宋" w:eastAsia="仿宋" w:cs="仿宋"/>
          <w:color w:val="auto"/>
          <w:sz w:val="24"/>
          <w:szCs w:val="24"/>
        </w:rPr>
      </w:pPr>
      <w:r>
        <w:rPr>
          <w:rStyle w:val="19"/>
          <w:rFonts w:hint="eastAsia" w:ascii="仿宋" w:hAnsi="仿宋" w:eastAsia="仿宋" w:cs="仿宋"/>
          <w:color w:val="auto"/>
          <w:sz w:val="24"/>
          <w:szCs w:val="24"/>
        </w:rPr>
        <w:t>（3）不可抗力导致本协议无法履行或履行不必要时；</w:t>
      </w:r>
    </w:p>
    <w:p>
      <w:pPr>
        <w:pageBreakBefore w:val="0"/>
        <w:widowControl w:val="0"/>
        <w:kinsoku/>
        <w:wordWrap/>
        <w:overflowPunct/>
        <w:topLinePunct w:val="0"/>
        <w:bidi w:val="0"/>
        <w:snapToGrid/>
        <w:spacing w:line="460" w:lineRule="exact"/>
        <w:ind w:left="0" w:leftChars="0" w:hanging="5" w:firstLineChars="0"/>
        <w:textAlignment w:val="auto"/>
        <w:rPr>
          <w:rFonts w:hint="eastAsia" w:ascii="仿宋" w:hAnsi="仿宋" w:eastAsia="仿宋" w:cs="仿宋"/>
          <w:color w:val="auto"/>
          <w:sz w:val="24"/>
          <w:szCs w:val="24"/>
        </w:rPr>
      </w:pPr>
      <w:r>
        <w:rPr>
          <w:rStyle w:val="19"/>
          <w:rFonts w:hint="eastAsia" w:ascii="仿宋" w:hAnsi="仿宋" w:eastAsia="仿宋" w:cs="仿宋"/>
          <w:color w:val="auto"/>
          <w:sz w:val="24"/>
          <w:szCs w:val="24"/>
        </w:rPr>
        <w:t>（4）一方不履行协议条款，造成另一方无法执行协议，协商又不能求得解决，责任方赔偿损失后，协议终止。</w:t>
      </w:r>
    </w:p>
    <w:p>
      <w:pPr>
        <w:pStyle w:val="4"/>
        <w:pageBreakBefore w:val="0"/>
        <w:widowControl w:val="0"/>
        <w:numPr>
          <w:ilvl w:val="0"/>
          <w:numId w:val="4"/>
        </w:numPr>
        <w:kinsoku/>
        <w:wordWrap/>
        <w:overflowPunct/>
        <w:topLinePunct w:val="0"/>
        <w:bidi w:val="0"/>
        <w:snapToGrid/>
        <w:spacing w:before="0" w:after="0" w:line="460" w:lineRule="exact"/>
        <w:textAlignment w:val="auto"/>
        <w:rPr>
          <w:rStyle w:val="19"/>
          <w:rFonts w:hint="eastAsia" w:ascii="仿宋" w:hAnsi="仿宋" w:eastAsia="仿宋" w:cs="仿宋"/>
          <w:color w:val="auto"/>
          <w:sz w:val="24"/>
          <w:szCs w:val="24"/>
          <w:lang w:val="en-US" w:eastAsia="zh-CN"/>
        </w:rPr>
      </w:pPr>
      <w:bookmarkStart w:id="55" w:name="_Toc25858"/>
      <w:bookmarkStart w:id="56" w:name="_Toc17886"/>
      <w:bookmarkStart w:id="57" w:name="_Toc13189"/>
      <w:r>
        <w:rPr>
          <w:rStyle w:val="19"/>
          <w:rFonts w:hint="eastAsia" w:ascii="仿宋" w:hAnsi="仿宋" w:eastAsia="仿宋" w:cs="仿宋"/>
          <w:color w:val="auto"/>
          <w:sz w:val="24"/>
          <w:szCs w:val="24"/>
          <w:lang w:val="en-US" w:eastAsia="zh-CN"/>
        </w:rPr>
        <w:t>法律适用</w:t>
      </w:r>
      <w:bookmarkEnd w:id="55"/>
      <w:bookmarkEnd w:id="56"/>
      <w:bookmarkEnd w:id="57"/>
    </w:p>
    <w:p>
      <w:pPr>
        <w:pageBreakBefore w:val="0"/>
        <w:widowControl w:val="0"/>
        <w:kinsoku/>
        <w:wordWrap/>
        <w:overflowPunct/>
        <w:topLinePunct w:val="0"/>
        <w:bidi w:val="0"/>
        <w:snapToGrid/>
        <w:spacing w:line="460" w:lineRule="exact"/>
        <w:textAlignment w:val="auto"/>
        <w:rPr>
          <w:rFonts w:hint="eastAsia" w:ascii="仿宋" w:hAnsi="仿宋" w:eastAsia="仿宋" w:cs="仿宋"/>
          <w:color w:val="auto"/>
          <w:sz w:val="24"/>
          <w:szCs w:val="24"/>
        </w:rPr>
      </w:pPr>
      <w:r>
        <w:rPr>
          <w:rStyle w:val="19"/>
          <w:rFonts w:hint="eastAsia" w:ascii="仿宋" w:hAnsi="仿宋" w:eastAsia="仿宋" w:cs="仿宋"/>
          <w:color w:val="auto"/>
          <w:sz w:val="24"/>
          <w:szCs w:val="24"/>
        </w:rPr>
        <w:t>本协议及附件的订立、效力、解释、履行、争议的解决等适用本协议签订时有效的国家法律、法规的有关规定。</w:t>
      </w:r>
    </w:p>
    <w:p>
      <w:pPr>
        <w:pStyle w:val="4"/>
        <w:pageBreakBefore w:val="0"/>
        <w:widowControl w:val="0"/>
        <w:numPr>
          <w:ilvl w:val="0"/>
          <w:numId w:val="4"/>
        </w:numPr>
        <w:kinsoku/>
        <w:wordWrap/>
        <w:overflowPunct/>
        <w:topLinePunct w:val="0"/>
        <w:bidi w:val="0"/>
        <w:snapToGrid/>
        <w:spacing w:before="0" w:after="0" w:line="460" w:lineRule="exact"/>
        <w:textAlignment w:val="auto"/>
        <w:rPr>
          <w:rStyle w:val="19"/>
          <w:rFonts w:hint="eastAsia" w:ascii="仿宋" w:hAnsi="仿宋" w:eastAsia="仿宋" w:cs="仿宋"/>
          <w:color w:val="auto"/>
          <w:sz w:val="24"/>
          <w:szCs w:val="24"/>
          <w:lang w:val="en-US" w:eastAsia="zh-CN"/>
        </w:rPr>
      </w:pPr>
      <w:bookmarkStart w:id="58" w:name="_Toc11186"/>
      <w:bookmarkStart w:id="59" w:name="_Toc23893"/>
      <w:bookmarkStart w:id="60" w:name="_Toc18581"/>
      <w:r>
        <w:rPr>
          <w:rStyle w:val="19"/>
          <w:rFonts w:hint="eastAsia" w:ascii="仿宋" w:hAnsi="仿宋" w:eastAsia="仿宋" w:cs="仿宋"/>
          <w:color w:val="auto"/>
          <w:sz w:val="24"/>
          <w:szCs w:val="24"/>
          <w:lang w:val="en-US" w:eastAsia="zh-CN"/>
        </w:rPr>
        <w:t>权利的保留</w:t>
      </w:r>
      <w:bookmarkEnd w:id="58"/>
      <w:bookmarkEnd w:id="59"/>
      <w:bookmarkEnd w:id="60"/>
    </w:p>
    <w:p>
      <w:pPr>
        <w:pStyle w:val="6"/>
        <w:pageBreakBefore w:val="0"/>
        <w:widowControl w:val="0"/>
        <w:numPr>
          <w:ilvl w:val="0"/>
          <w:numId w:val="19"/>
        </w:numPr>
        <w:kinsoku/>
        <w:wordWrap/>
        <w:overflowPunct/>
        <w:topLinePunct w:val="0"/>
        <w:bidi w:val="0"/>
        <w:snapToGrid/>
        <w:spacing w:line="460" w:lineRule="exact"/>
        <w:ind w:left="0"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任何一方没有行使其权利或没有就违约</w:t>
      </w:r>
      <w:bookmarkStart w:id="61" w:name="_GoBack"/>
      <w:bookmarkEnd w:id="61"/>
      <w:r>
        <w:rPr>
          <w:rStyle w:val="19"/>
          <w:rFonts w:hint="eastAsia" w:ascii="仿宋" w:hAnsi="仿宋" w:eastAsia="仿宋" w:cs="仿宋"/>
          <w:color w:val="auto"/>
          <w:sz w:val="24"/>
          <w:szCs w:val="24"/>
          <w:lang w:val="en-US" w:eastAsia="zh-CN"/>
        </w:rPr>
        <w:t>方的违约行为采取任何行动，不应被视为是对其权利的放弃或对追究其他各方违约责任权利的放弃。任何一方放弃针对违约方的某种权利，或放弃追究违约方的某种责任，不应视为对其他权利或追究其他责任的放弃。</w:t>
      </w:r>
    </w:p>
    <w:p>
      <w:pPr>
        <w:pStyle w:val="6"/>
        <w:pageBreakBefore w:val="0"/>
        <w:widowControl w:val="0"/>
        <w:numPr>
          <w:ilvl w:val="0"/>
          <w:numId w:val="19"/>
        </w:numPr>
        <w:kinsoku/>
        <w:wordWrap/>
        <w:overflowPunct/>
        <w:topLinePunct w:val="0"/>
        <w:bidi w:val="0"/>
        <w:snapToGrid/>
        <w:spacing w:line="460" w:lineRule="exact"/>
        <w:ind w:left="0"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如果本协议部分条款依据协议生效后颁布的有关法律、法规被确认为无效或无法履行，且该部分无效或无法履行的条款不影响本协议其他条款效力的，本协议其他条款继续有效；同时，协议各方应根据现行有关法律、法规对该部分无效或无法履行的条款进行调整，使其依法成为有效条款，并尽量符合本协议所体现的原则和精神。</w:t>
      </w:r>
    </w:p>
    <w:p>
      <w:pPr>
        <w:pStyle w:val="6"/>
        <w:pageBreakBefore w:val="0"/>
        <w:widowControl w:val="0"/>
        <w:numPr>
          <w:ilvl w:val="0"/>
          <w:numId w:val="19"/>
        </w:numPr>
        <w:kinsoku/>
        <w:wordWrap/>
        <w:overflowPunct/>
        <w:topLinePunct w:val="0"/>
        <w:bidi w:val="0"/>
        <w:snapToGrid/>
        <w:spacing w:line="460" w:lineRule="exact"/>
        <w:ind w:left="0" w:leftChars="0" w:hanging="5" w:firstLineChars="0"/>
        <w:textAlignment w:val="auto"/>
        <w:rPr>
          <w:rStyle w:val="19"/>
          <w:rFonts w:hint="eastAsia" w:ascii="仿宋" w:hAnsi="仿宋" w:eastAsia="仿宋" w:cs="仿宋"/>
          <w:color w:val="auto"/>
          <w:sz w:val="24"/>
          <w:szCs w:val="24"/>
          <w:lang w:val="en-US" w:eastAsia="zh-CN"/>
        </w:rPr>
      </w:pPr>
      <w:r>
        <w:rPr>
          <w:rStyle w:val="19"/>
          <w:rFonts w:hint="eastAsia" w:ascii="仿宋" w:hAnsi="仿宋" w:eastAsia="仿宋" w:cs="仿宋"/>
          <w:color w:val="auto"/>
          <w:sz w:val="24"/>
          <w:szCs w:val="24"/>
          <w:lang w:val="en-US" w:eastAsia="zh-CN"/>
        </w:rPr>
        <w:t>在本协议履行期间，因国家法律、法规、政策的变化致使本协议的部分条款相冲突、无效或失去可强制执行效力时，甲乙双方应尽快修改本协议中相冲突或无效或失去可强制执行效力的条款。</w:t>
      </w:r>
    </w:p>
    <w:p>
      <w:pPr>
        <w:pStyle w:val="6"/>
        <w:pageBreakBefore w:val="0"/>
        <w:widowControl w:val="0"/>
        <w:kinsoku/>
        <w:wordWrap/>
        <w:overflowPunct/>
        <w:topLinePunct w:val="0"/>
        <w:bidi w:val="0"/>
        <w:snapToGrid/>
        <w:spacing w:line="460" w:lineRule="exact"/>
        <w:textAlignment w:val="auto"/>
        <w:rPr>
          <w:rStyle w:val="19"/>
          <w:rFonts w:hint="eastAsia" w:ascii="仿宋" w:hAnsi="仿宋" w:eastAsia="仿宋" w:cs="仿宋"/>
          <w:color w:val="auto"/>
          <w:sz w:val="24"/>
          <w:szCs w:val="24"/>
          <w:lang w:val="en-US" w:eastAsia="zh-CN"/>
        </w:rPr>
      </w:pPr>
    </w:p>
    <w:p>
      <w:pPr>
        <w:pageBreakBefore w:val="0"/>
        <w:widowControl w:val="0"/>
        <w:kinsoku/>
        <w:wordWrap/>
        <w:overflowPunct/>
        <w:topLinePunct w:val="0"/>
        <w:bidi w:val="0"/>
        <w:snapToGrid/>
        <w:spacing w:line="460" w:lineRule="exact"/>
        <w:textAlignment w:val="auto"/>
        <w:rPr>
          <w:rFonts w:hint="eastAsia" w:ascii="仿宋" w:hAnsi="仿宋" w:eastAsia="仿宋" w:cs="仿宋"/>
          <w:color w:val="auto"/>
          <w:sz w:val="24"/>
          <w:szCs w:val="24"/>
        </w:rPr>
      </w:pPr>
      <w:r>
        <w:rPr>
          <w:rStyle w:val="19"/>
          <w:rFonts w:hint="eastAsia" w:ascii="仿宋" w:hAnsi="仿宋" w:eastAsia="仿宋" w:cs="仿宋"/>
          <w:color w:val="auto"/>
          <w:sz w:val="24"/>
          <w:szCs w:val="24"/>
        </w:rPr>
        <w:t>甲方：                         乙方：</w:t>
      </w:r>
    </w:p>
    <w:p>
      <w:pPr>
        <w:pageBreakBefore w:val="0"/>
        <w:widowControl w:val="0"/>
        <w:kinsoku/>
        <w:wordWrap/>
        <w:overflowPunct/>
        <w:topLinePunct w:val="0"/>
        <w:bidi w:val="0"/>
        <w:snapToGrid/>
        <w:spacing w:line="460" w:lineRule="exact"/>
        <w:textAlignment w:val="auto"/>
        <w:rPr>
          <w:rFonts w:hint="eastAsia" w:ascii="仿宋" w:hAnsi="仿宋" w:eastAsia="仿宋" w:cs="仿宋"/>
          <w:color w:val="auto"/>
          <w:sz w:val="24"/>
          <w:szCs w:val="24"/>
        </w:rPr>
      </w:pPr>
      <w:r>
        <w:rPr>
          <w:rStyle w:val="19"/>
          <w:rFonts w:hint="eastAsia" w:ascii="仿宋" w:hAnsi="仿宋" w:eastAsia="仿宋" w:cs="仿宋"/>
          <w:color w:val="auto"/>
          <w:sz w:val="24"/>
          <w:szCs w:val="24"/>
        </w:rPr>
        <w:t xml:space="preserve">单位名称（公章）             </w:t>
      </w:r>
      <w:r>
        <w:rPr>
          <w:rStyle w:val="19"/>
          <w:rFonts w:hint="eastAsia" w:ascii="仿宋" w:hAnsi="仿宋" w:eastAsia="仿宋" w:cs="仿宋"/>
          <w:color w:val="auto"/>
          <w:sz w:val="24"/>
          <w:szCs w:val="24"/>
          <w:lang w:val="en-US" w:eastAsia="zh-CN"/>
        </w:rPr>
        <w:t xml:space="preserve"> </w:t>
      </w:r>
      <w:r>
        <w:rPr>
          <w:rStyle w:val="19"/>
          <w:rFonts w:hint="eastAsia" w:ascii="仿宋" w:hAnsi="仿宋" w:eastAsia="仿宋" w:cs="仿宋"/>
          <w:color w:val="auto"/>
          <w:sz w:val="24"/>
          <w:szCs w:val="24"/>
        </w:rPr>
        <w:t xml:space="preserve"> 单位名称（公章）</w:t>
      </w:r>
    </w:p>
    <w:p>
      <w:pPr>
        <w:rPr>
          <w:rStyle w:val="19"/>
          <w:rFonts w:hint="eastAsia" w:ascii="仿宋" w:hAnsi="仿宋" w:eastAsia="仿宋" w:cs="仿宋"/>
          <w:color w:val="auto"/>
          <w:sz w:val="24"/>
          <w:szCs w:val="24"/>
        </w:rPr>
      </w:pPr>
      <w:r>
        <w:rPr>
          <w:rStyle w:val="19"/>
          <w:rFonts w:hint="eastAsia" w:ascii="仿宋" w:hAnsi="仿宋" w:eastAsia="仿宋" w:cs="仿宋"/>
          <w:color w:val="auto"/>
          <w:sz w:val="24"/>
          <w:szCs w:val="24"/>
        </w:rPr>
        <w:t>签约日期：                     签约日期：</w:t>
      </w:r>
    </w:p>
    <w:p>
      <w:pPr>
        <w:rPr>
          <w:rStyle w:val="19"/>
          <w:rFonts w:hint="eastAsia" w:ascii="仿宋" w:hAnsi="仿宋" w:eastAsia="仿宋" w:cs="仿宋"/>
          <w:color w:val="auto"/>
          <w:sz w:val="24"/>
          <w:szCs w:val="24"/>
        </w:rPr>
      </w:pPr>
      <w:r>
        <w:rPr>
          <w:rStyle w:val="19"/>
          <w:rFonts w:hint="eastAsia" w:ascii="仿宋" w:hAnsi="仿宋" w:eastAsia="仿宋" w:cs="仿宋"/>
          <w:color w:val="auto"/>
          <w:sz w:val="24"/>
          <w:szCs w:val="24"/>
        </w:rPr>
        <w:br w:type="page"/>
      </w:r>
    </w:p>
    <w:p>
      <w:pPr>
        <w:pStyle w:val="3"/>
        <w:numPr>
          <w:ilvl w:val="0"/>
          <w:numId w:val="1"/>
        </w:numPr>
        <w:spacing w:before="240" w:after="120"/>
        <w:ind w:left="643" w:hanging="643" w:hangingChars="200"/>
        <w:jc w:val="center"/>
        <w:rPr>
          <w:rFonts w:ascii="仿宋" w:hAnsi="仿宋" w:eastAsia="仿宋"/>
          <w:sz w:val="32"/>
          <w:szCs w:val="32"/>
        </w:rPr>
      </w:pPr>
      <w:r>
        <w:rPr>
          <w:rFonts w:hint="eastAsia" w:ascii="仿宋" w:hAnsi="仿宋" w:eastAsia="仿宋"/>
          <w:sz w:val="32"/>
          <w:szCs w:val="32"/>
          <w:lang w:val="en-US" w:eastAsia="zh-CN"/>
        </w:rPr>
        <w:t>采购合同文本</w:t>
      </w:r>
    </w:p>
    <w:p>
      <w:pPr>
        <w:pStyle w:val="6"/>
        <w:rPr>
          <w:rFonts w:hint="eastAsia" w:ascii="方正小标宋_GBK" w:hAnsi="仿宋" w:eastAsia="方正小标宋_GBK" w:cs="仿宋"/>
          <w:color w:val="auto"/>
          <w:sz w:val="44"/>
          <w:szCs w:val="44"/>
          <w:lang w:val="zh-CN"/>
        </w:rPr>
      </w:pPr>
    </w:p>
    <w:p>
      <w:pPr>
        <w:pStyle w:val="6"/>
        <w:rPr>
          <w:rFonts w:hint="eastAsia" w:ascii="方正小标宋_GBK" w:hAnsi="仿宋" w:eastAsia="方正小标宋_GBK" w:cs="仿宋"/>
          <w:color w:val="auto"/>
          <w:sz w:val="44"/>
          <w:szCs w:val="44"/>
          <w:lang w:val="zh-CN"/>
        </w:rPr>
      </w:pPr>
    </w:p>
    <w:p>
      <w:pPr>
        <w:pStyle w:val="6"/>
        <w:rPr>
          <w:rFonts w:hint="eastAsia" w:ascii="方正小标宋_GBK" w:hAnsi="仿宋" w:eastAsia="方正小标宋_GBK" w:cs="仿宋"/>
          <w:color w:val="auto"/>
          <w:sz w:val="44"/>
          <w:szCs w:val="44"/>
          <w:lang w:val="zh-CN"/>
        </w:rPr>
      </w:pPr>
    </w:p>
    <w:p>
      <w:pPr>
        <w:pStyle w:val="6"/>
        <w:rPr>
          <w:rFonts w:hint="eastAsia" w:ascii="方正小标宋_GBK" w:hAnsi="仿宋" w:eastAsia="方正小标宋_GBK" w:cs="仿宋"/>
          <w:color w:val="auto"/>
          <w:sz w:val="44"/>
          <w:szCs w:val="44"/>
          <w:lang w:val="zh-CN"/>
        </w:rPr>
      </w:pPr>
    </w:p>
    <w:p>
      <w:pPr>
        <w:pStyle w:val="6"/>
        <w:rPr>
          <w:rFonts w:hint="eastAsia" w:ascii="方正小标宋_GBK" w:hAnsi="仿宋" w:eastAsia="方正小标宋_GBK" w:cs="仿宋"/>
          <w:color w:val="auto"/>
          <w:sz w:val="44"/>
          <w:szCs w:val="44"/>
          <w:lang w:val="zh-CN"/>
        </w:rPr>
      </w:pPr>
    </w:p>
    <w:p>
      <w:pPr>
        <w:spacing w:line="440" w:lineRule="exact"/>
        <w:ind w:firstLine="482" w:firstLineChars="200"/>
        <w:jc w:val="left"/>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采购项目名称：</w:t>
      </w:r>
    </w:p>
    <w:p>
      <w:pPr>
        <w:spacing w:line="440" w:lineRule="exact"/>
        <w:ind w:firstLine="482" w:firstLineChars="200"/>
        <w:jc w:val="left"/>
        <w:rPr>
          <w:rFonts w:hint="eastAsia" w:ascii="仿宋" w:hAnsi="仿宋" w:eastAsia="仿宋" w:cs="仿宋"/>
          <w:b/>
          <w:bCs/>
          <w:color w:val="auto"/>
          <w:sz w:val="24"/>
          <w:szCs w:val="24"/>
          <w:lang w:val="zh-CN" w:eastAsia="zh-CN"/>
        </w:rPr>
      </w:pPr>
      <w:r>
        <w:rPr>
          <w:rFonts w:hint="eastAsia" w:ascii="仿宋" w:hAnsi="仿宋" w:eastAsia="仿宋" w:cs="仿宋"/>
          <w:b/>
          <w:bCs/>
          <w:color w:val="auto"/>
          <w:sz w:val="24"/>
          <w:szCs w:val="24"/>
          <w:lang w:val="en-US" w:eastAsia="zh-CN"/>
        </w:rPr>
        <w:t>计划</w:t>
      </w:r>
      <w:r>
        <w:rPr>
          <w:rFonts w:hint="eastAsia" w:ascii="仿宋" w:hAnsi="仿宋" w:eastAsia="仿宋" w:cs="仿宋"/>
          <w:b/>
          <w:bCs/>
          <w:color w:val="auto"/>
          <w:sz w:val="24"/>
          <w:szCs w:val="24"/>
          <w:lang w:val="zh-CN" w:eastAsia="zh-CN"/>
        </w:rPr>
        <w:t>编号：</w:t>
      </w:r>
    </w:p>
    <w:p>
      <w:pPr>
        <w:spacing w:line="440" w:lineRule="exact"/>
        <w:ind w:firstLine="482" w:firstLineChars="200"/>
        <w:jc w:val="left"/>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项目编号：</w:t>
      </w:r>
    </w:p>
    <w:p>
      <w:pPr>
        <w:spacing w:line="440" w:lineRule="exact"/>
        <w:ind w:firstLine="482" w:firstLineChars="200"/>
        <w:jc w:val="left"/>
        <w:rPr>
          <w:rFonts w:hint="eastAsia" w:ascii="仿宋" w:hAnsi="仿宋" w:eastAsia="仿宋" w:cs="仿宋"/>
          <w:b/>
          <w:bCs/>
          <w:color w:val="auto"/>
          <w:sz w:val="24"/>
          <w:szCs w:val="24"/>
          <w:lang w:val="zh-CN" w:eastAsia="zh-CN"/>
        </w:rPr>
      </w:pPr>
    </w:p>
    <w:p>
      <w:pPr>
        <w:spacing w:line="440" w:lineRule="exact"/>
        <w:ind w:firstLine="482" w:firstLineChars="200"/>
        <w:jc w:val="left"/>
        <w:rPr>
          <w:rFonts w:hint="eastAsia" w:ascii="仿宋" w:hAnsi="仿宋" w:eastAsia="仿宋" w:cs="仿宋"/>
          <w:b/>
          <w:bCs/>
          <w:color w:val="auto"/>
          <w:sz w:val="24"/>
          <w:szCs w:val="24"/>
          <w:lang w:val="zh-CN" w:eastAsia="zh-CN"/>
        </w:rPr>
      </w:pPr>
      <w:r>
        <w:rPr>
          <w:rFonts w:hint="eastAsia" w:ascii="仿宋" w:hAnsi="仿宋" w:eastAsia="仿宋" w:cs="仿宋"/>
          <w:b/>
          <w:bCs/>
          <w:color w:val="auto"/>
          <w:sz w:val="24"/>
          <w:szCs w:val="24"/>
          <w:lang w:val="zh-CN" w:eastAsia="zh-CN"/>
        </w:rPr>
        <w:t>甲方（采购人）：</w:t>
      </w:r>
    </w:p>
    <w:p>
      <w:pPr>
        <w:spacing w:line="440" w:lineRule="exact"/>
        <w:ind w:firstLine="482" w:firstLineChars="200"/>
        <w:jc w:val="left"/>
        <w:rPr>
          <w:rFonts w:hint="eastAsia" w:ascii="仿宋" w:hAnsi="仿宋" w:eastAsia="仿宋" w:cs="仿宋"/>
          <w:b/>
          <w:bCs/>
          <w:color w:val="auto"/>
          <w:sz w:val="24"/>
          <w:szCs w:val="24"/>
          <w:lang w:val="zh-CN" w:eastAsia="zh-CN"/>
        </w:rPr>
      </w:pPr>
      <w:r>
        <w:rPr>
          <w:rFonts w:hint="eastAsia" w:ascii="仿宋" w:hAnsi="仿宋" w:eastAsia="仿宋" w:cs="仿宋"/>
          <w:b/>
          <w:bCs/>
          <w:color w:val="auto"/>
          <w:sz w:val="24"/>
          <w:szCs w:val="24"/>
          <w:lang w:val="zh-CN" w:eastAsia="zh-CN"/>
        </w:rPr>
        <w:t>住所地：</w:t>
      </w:r>
    </w:p>
    <w:p>
      <w:pPr>
        <w:spacing w:line="440" w:lineRule="exact"/>
        <w:ind w:firstLine="482" w:firstLineChars="200"/>
        <w:jc w:val="left"/>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联系方式：</w:t>
      </w:r>
    </w:p>
    <w:p>
      <w:pPr>
        <w:spacing w:line="440" w:lineRule="exact"/>
        <w:ind w:firstLine="482" w:firstLineChars="200"/>
        <w:jc w:val="left"/>
        <w:rPr>
          <w:rFonts w:hint="eastAsia" w:ascii="仿宋" w:hAnsi="仿宋" w:eastAsia="仿宋" w:cs="仿宋"/>
          <w:b/>
          <w:bCs/>
          <w:color w:val="auto"/>
          <w:sz w:val="24"/>
          <w:szCs w:val="24"/>
          <w:lang w:val="zh-CN" w:eastAsia="zh-CN"/>
        </w:rPr>
      </w:pPr>
      <w:r>
        <w:rPr>
          <w:rFonts w:hint="eastAsia" w:ascii="仿宋" w:hAnsi="仿宋" w:eastAsia="仿宋" w:cs="仿宋"/>
          <w:b/>
          <w:bCs/>
          <w:color w:val="auto"/>
          <w:sz w:val="24"/>
          <w:szCs w:val="24"/>
          <w:lang w:val="zh-CN" w:eastAsia="zh-CN"/>
        </w:rPr>
        <w:t>乙方（</w:t>
      </w:r>
      <w:r>
        <w:rPr>
          <w:rFonts w:hint="eastAsia" w:ascii="仿宋" w:hAnsi="仿宋" w:eastAsia="仿宋" w:cs="仿宋"/>
          <w:b/>
          <w:bCs/>
          <w:color w:val="auto"/>
          <w:sz w:val="24"/>
          <w:szCs w:val="24"/>
          <w:lang w:val="en-US" w:eastAsia="zh-CN"/>
        </w:rPr>
        <w:t>成交供应商</w:t>
      </w:r>
      <w:r>
        <w:rPr>
          <w:rFonts w:hint="eastAsia" w:ascii="仿宋" w:hAnsi="仿宋" w:eastAsia="仿宋" w:cs="仿宋"/>
          <w:b/>
          <w:bCs/>
          <w:color w:val="auto"/>
          <w:sz w:val="24"/>
          <w:szCs w:val="24"/>
          <w:lang w:val="zh-CN" w:eastAsia="zh-CN"/>
        </w:rPr>
        <w:t>）：</w:t>
      </w:r>
    </w:p>
    <w:p>
      <w:pPr>
        <w:spacing w:line="440" w:lineRule="exact"/>
        <w:ind w:firstLine="482" w:firstLineChars="200"/>
        <w:jc w:val="left"/>
        <w:rPr>
          <w:rFonts w:hint="eastAsia" w:ascii="仿宋" w:hAnsi="仿宋" w:eastAsia="仿宋" w:cs="仿宋"/>
          <w:b/>
          <w:bCs/>
          <w:color w:val="auto"/>
          <w:sz w:val="24"/>
          <w:szCs w:val="24"/>
          <w:lang w:val="zh-CN" w:eastAsia="zh-CN"/>
        </w:rPr>
      </w:pPr>
      <w:r>
        <w:rPr>
          <w:rFonts w:hint="eastAsia" w:ascii="仿宋" w:hAnsi="仿宋" w:eastAsia="仿宋" w:cs="仿宋"/>
          <w:b/>
          <w:bCs/>
          <w:color w:val="auto"/>
          <w:sz w:val="24"/>
          <w:szCs w:val="24"/>
          <w:lang w:val="zh-CN" w:eastAsia="zh-CN"/>
        </w:rPr>
        <w:t>住所地：</w:t>
      </w:r>
    </w:p>
    <w:p>
      <w:pPr>
        <w:spacing w:line="440" w:lineRule="exact"/>
        <w:ind w:firstLine="482" w:firstLineChars="200"/>
        <w:jc w:val="left"/>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联系方式：</w:t>
      </w:r>
    </w:p>
    <w:p>
      <w:pPr>
        <w:rPr>
          <w:color w:val="auto"/>
        </w:rPr>
      </w:pPr>
    </w:p>
    <w:p>
      <w:pPr>
        <w:rPr>
          <w:rFonts w:hint="eastAsia"/>
          <w:color w:val="auto"/>
          <w:lang w:eastAsia="zh-CN"/>
        </w:rPr>
      </w:pPr>
      <w:r>
        <w:rPr>
          <w:rFonts w:hint="eastAsia"/>
          <w:color w:val="auto"/>
          <w:lang w:eastAsia="zh-CN"/>
        </w:rPr>
        <w:br w:type="page"/>
      </w:r>
    </w:p>
    <w:p>
      <w:pPr>
        <w:ind w:firstLine="480" w:firstLineChars="200"/>
        <w:rPr>
          <w:rStyle w:val="19"/>
          <w:rFonts w:hint="default" w:ascii="仿宋" w:hAnsi="仿宋" w:eastAsia="仿宋" w:cs="仿宋"/>
          <w:color w:val="auto"/>
          <w:sz w:val="24"/>
          <w:szCs w:val="24"/>
          <w:lang w:val="zh-CN"/>
        </w:rPr>
      </w:pPr>
      <w:r>
        <w:rPr>
          <w:rStyle w:val="19"/>
          <w:rFonts w:hint="default" w:ascii="仿宋" w:hAnsi="仿宋" w:eastAsia="仿宋" w:cs="仿宋"/>
          <w:color w:val="auto"/>
          <w:sz w:val="24"/>
          <w:szCs w:val="24"/>
          <w:lang w:val="zh-CN"/>
        </w:rPr>
        <w:t>按照《中华人民共和国民法典》、《中华人民共和国政府采购法》和《政府采购框架协议采购方式管理暂行办法》及相关法律法规以及征集文件规定，经甲乙双方协商一致，签订本政府采购合同。</w:t>
      </w:r>
    </w:p>
    <w:p>
      <w:pPr>
        <w:numPr>
          <w:ilvl w:val="0"/>
          <w:numId w:val="20"/>
        </w:numPr>
        <w:spacing w:line="360" w:lineRule="auto"/>
        <w:ind w:firstLine="482" w:firstLineChars="200"/>
        <w:rPr>
          <w:rFonts w:ascii="仿宋" w:hAnsi="仿宋" w:eastAsia="仿宋" w:cs="仿宋"/>
          <w:b/>
          <w:bCs/>
          <w:sz w:val="24"/>
          <w:szCs w:val="24"/>
          <w:lang w:val="zh-CN"/>
        </w:rPr>
      </w:pPr>
      <w:r>
        <w:rPr>
          <w:rFonts w:ascii="仿宋" w:hAnsi="仿宋" w:eastAsia="仿宋" w:cs="仿宋"/>
          <w:b/>
          <w:bCs/>
          <w:sz w:val="24"/>
          <w:szCs w:val="24"/>
          <w:lang w:val="zh-CN"/>
        </w:rPr>
        <w:t xml:space="preserve"> </w:t>
      </w:r>
      <w:r>
        <w:rPr>
          <w:rFonts w:hint="eastAsia" w:ascii="仿宋" w:hAnsi="仿宋" w:eastAsia="仿宋" w:cs="仿宋"/>
          <w:b/>
          <w:bCs/>
          <w:sz w:val="24"/>
          <w:szCs w:val="24"/>
        </w:rPr>
        <w:t>服务</w:t>
      </w:r>
      <w:r>
        <w:rPr>
          <w:rFonts w:hint="eastAsia" w:ascii="仿宋" w:hAnsi="仿宋" w:eastAsia="仿宋" w:cs="仿宋"/>
          <w:b/>
          <w:bCs/>
          <w:sz w:val="24"/>
          <w:szCs w:val="24"/>
          <w:lang w:val="zh-CN"/>
        </w:rPr>
        <w:t>条款</w:t>
      </w:r>
    </w:p>
    <w:p>
      <w:pPr>
        <w:spacing w:line="360" w:lineRule="auto"/>
        <w:ind w:firstLine="480" w:firstLineChars="200"/>
        <w:rPr>
          <w:rFonts w:ascii="仿宋" w:hAnsi="仿宋" w:eastAsia="仿宋" w:cs="仿宋"/>
          <w:sz w:val="24"/>
          <w:szCs w:val="24"/>
          <w:lang w:val="zh-CN"/>
        </w:rPr>
      </w:pPr>
      <w:r>
        <w:rPr>
          <w:rFonts w:hint="eastAsia" w:ascii="仿宋" w:hAnsi="仿宋" w:eastAsia="仿宋" w:cs="仿宋"/>
          <w:sz w:val="24"/>
          <w:szCs w:val="24"/>
          <w:lang w:val="zh-CN"/>
        </w:rPr>
        <w:t>乙方向甲方提供以下</w:t>
      </w:r>
      <w:r>
        <w:rPr>
          <w:rFonts w:hint="eastAsia" w:ascii="仿宋" w:hAnsi="仿宋" w:eastAsia="仿宋" w:cs="仿宋"/>
          <w:sz w:val="24"/>
          <w:szCs w:val="24"/>
        </w:rPr>
        <w:t>服务</w:t>
      </w:r>
    </w:p>
    <w:tbl>
      <w:tblPr>
        <w:tblStyle w:val="12"/>
        <w:tblW w:w="7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28" w:type="dxa"/>
            <w:noWrap w:val="0"/>
            <w:vAlign w:val="center"/>
          </w:tcPr>
          <w:p>
            <w:pPr>
              <w:spacing w:line="360" w:lineRule="auto"/>
              <w:jc w:val="center"/>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序号</w:t>
            </w:r>
          </w:p>
        </w:tc>
        <w:tc>
          <w:tcPr>
            <w:tcW w:w="6092" w:type="dxa"/>
            <w:noWrap w:val="0"/>
            <w:vAlign w:val="center"/>
          </w:tcPr>
          <w:p>
            <w:pPr>
              <w:spacing w:line="360" w:lineRule="auto"/>
              <w:jc w:val="center"/>
              <w:rPr>
                <w:rFonts w:ascii="仿宋" w:hAnsi="仿宋" w:eastAsia="仿宋" w:cs="仿宋"/>
                <w:sz w:val="24"/>
                <w:szCs w:val="24"/>
                <w:lang w:val="zh-CN"/>
              </w:rPr>
            </w:pPr>
            <w:r>
              <w:rPr>
                <w:rFonts w:hint="eastAsia" w:ascii="仿宋" w:hAnsi="仿宋" w:eastAsia="仿宋" w:cs="仿宋"/>
                <w:sz w:val="24"/>
                <w:szCs w:val="24"/>
              </w:rPr>
              <w:t>服务</w:t>
            </w:r>
            <w:r>
              <w:rPr>
                <w:rFonts w:hint="eastAsia" w:ascii="仿宋" w:hAnsi="仿宋" w:eastAsia="仿宋" w:cs="仿宋"/>
                <w:sz w:val="24"/>
                <w:szCs w:val="24"/>
                <w:lang w:val="zh-CN"/>
              </w:rPr>
              <w:t>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28" w:type="dxa"/>
            <w:noWrap w:val="0"/>
            <w:vAlign w:val="center"/>
          </w:tcPr>
          <w:p>
            <w:pPr>
              <w:spacing w:line="360" w:lineRule="auto"/>
              <w:jc w:val="center"/>
              <w:rPr>
                <w:rFonts w:ascii="仿宋" w:hAnsi="仿宋" w:eastAsia="仿宋" w:cs="仿宋"/>
                <w:sz w:val="24"/>
                <w:szCs w:val="24"/>
                <w:lang w:val="zh-CN"/>
              </w:rPr>
            </w:pPr>
          </w:p>
        </w:tc>
        <w:tc>
          <w:tcPr>
            <w:tcW w:w="6092" w:type="dxa"/>
            <w:noWrap w:val="0"/>
            <w:vAlign w:val="center"/>
          </w:tcPr>
          <w:p>
            <w:pPr>
              <w:spacing w:line="360" w:lineRule="auto"/>
              <w:jc w:val="center"/>
              <w:rPr>
                <w:rFonts w:ascii="仿宋" w:hAnsi="仿宋" w:eastAsia="仿宋" w:cs="仿宋"/>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28" w:type="dxa"/>
            <w:noWrap w:val="0"/>
            <w:vAlign w:val="center"/>
          </w:tcPr>
          <w:p>
            <w:pPr>
              <w:spacing w:line="360" w:lineRule="auto"/>
              <w:jc w:val="center"/>
              <w:rPr>
                <w:rFonts w:ascii="仿宋" w:hAnsi="仿宋" w:eastAsia="仿宋" w:cs="仿宋"/>
                <w:sz w:val="24"/>
                <w:szCs w:val="24"/>
                <w:lang w:val="zh-CN"/>
              </w:rPr>
            </w:pPr>
          </w:p>
        </w:tc>
        <w:tc>
          <w:tcPr>
            <w:tcW w:w="6092" w:type="dxa"/>
            <w:noWrap w:val="0"/>
            <w:vAlign w:val="center"/>
          </w:tcPr>
          <w:p>
            <w:pPr>
              <w:spacing w:line="360" w:lineRule="auto"/>
              <w:jc w:val="center"/>
              <w:rPr>
                <w:rFonts w:ascii="仿宋" w:hAnsi="仿宋" w:eastAsia="仿宋" w:cs="仿宋"/>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28" w:type="dxa"/>
            <w:noWrap w:val="0"/>
            <w:vAlign w:val="center"/>
          </w:tcPr>
          <w:p>
            <w:pPr>
              <w:spacing w:line="360" w:lineRule="auto"/>
              <w:jc w:val="center"/>
              <w:rPr>
                <w:rFonts w:ascii="仿宋" w:hAnsi="仿宋" w:eastAsia="仿宋" w:cs="仿宋"/>
                <w:sz w:val="24"/>
                <w:szCs w:val="24"/>
                <w:lang w:val="zh-CN"/>
              </w:rPr>
            </w:pPr>
          </w:p>
        </w:tc>
        <w:tc>
          <w:tcPr>
            <w:tcW w:w="6092" w:type="dxa"/>
            <w:noWrap w:val="0"/>
            <w:vAlign w:val="center"/>
          </w:tcPr>
          <w:p>
            <w:pPr>
              <w:spacing w:line="360" w:lineRule="auto"/>
              <w:jc w:val="center"/>
              <w:rPr>
                <w:rFonts w:ascii="仿宋" w:hAnsi="仿宋" w:eastAsia="仿宋" w:cs="仿宋"/>
                <w:sz w:val="24"/>
                <w:szCs w:val="24"/>
                <w:lang w:val="zh-CN"/>
              </w:rPr>
            </w:pPr>
          </w:p>
        </w:tc>
      </w:tr>
    </w:tbl>
    <w:p>
      <w:pPr>
        <w:ind w:firstLine="480" w:firstLineChars="200"/>
        <w:rPr>
          <w:rStyle w:val="19"/>
          <w:rFonts w:hint="default" w:ascii="仿宋" w:hAnsi="仿宋" w:eastAsia="仿宋" w:cs="仿宋"/>
          <w:color w:val="auto"/>
          <w:sz w:val="24"/>
          <w:szCs w:val="24"/>
        </w:rPr>
      </w:pPr>
      <w:r>
        <w:rPr>
          <w:rStyle w:val="19"/>
          <w:rFonts w:hint="default" w:ascii="仿宋" w:hAnsi="仿宋" w:eastAsia="仿宋" w:cs="仿宋"/>
          <w:color w:val="auto"/>
          <w:sz w:val="24"/>
          <w:szCs w:val="24"/>
        </w:rPr>
        <w:t>注：如上述表格不适用相关服务的，具体</w:t>
      </w:r>
      <w:r>
        <w:rPr>
          <w:rStyle w:val="19"/>
          <w:rFonts w:hint="eastAsia" w:ascii="仿宋" w:hAnsi="仿宋" w:eastAsia="仿宋" w:cs="仿宋"/>
          <w:color w:val="auto"/>
          <w:sz w:val="24"/>
          <w:szCs w:val="24"/>
          <w:lang w:val="en-US" w:eastAsia="zh-CN"/>
        </w:rPr>
        <w:t>服务指标</w:t>
      </w:r>
      <w:r>
        <w:rPr>
          <w:rStyle w:val="19"/>
          <w:rFonts w:hint="default" w:ascii="仿宋" w:hAnsi="仿宋" w:eastAsia="仿宋" w:cs="仿宋"/>
          <w:color w:val="auto"/>
          <w:sz w:val="24"/>
          <w:szCs w:val="24"/>
        </w:rPr>
        <w:t>等可用附件形式列明，作为本合同组成部分。</w:t>
      </w:r>
    </w:p>
    <w:p>
      <w:pPr>
        <w:spacing w:line="360" w:lineRule="auto"/>
        <w:ind w:firstLine="482" w:firstLineChars="200"/>
        <w:rPr>
          <w:rFonts w:ascii="仿宋" w:hAnsi="仿宋" w:eastAsia="仿宋" w:cs="仿宋"/>
          <w:b/>
          <w:bCs/>
          <w:sz w:val="24"/>
          <w:szCs w:val="24"/>
          <w:lang w:val="zh-CN"/>
        </w:rPr>
      </w:pPr>
      <w:r>
        <w:rPr>
          <w:rFonts w:hint="eastAsia" w:ascii="仿宋" w:hAnsi="仿宋" w:eastAsia="仿宋" w:cs="仿宋"/>
          <w:b/>
          <w:bCs/>
          <w:sz w:val="24"/>
          <w:szCs w:val="24"/>
          <w:lang w:val="zh-CN"/>
        </w:rPr>
        <w:t>第二条</w:t>
      </w:r>
      <w:r>
        <w:rPr>
          <w:rFonts w:ascii="仿宋" w:hAnsi="仿宋" w:eastAsia="仿宋" w:cs="仿宋"/>
          <w:b/>
          <w:bCs/>
          <w:sz w:val="24"/>
          <w:szCs w:val="24"/>
          <w:lang w:val="zh-CN"/>
        </w:rPr>
        <w:t xml:space="preserve">  </w:t>
      </w:r>
      <w:r>
        <w:rPr>
          <w:rFonts w:hint="eastAsia" w:ascii="仿宋" w:hAnsi="仿宋" w:eastAsia="仿宋" w:cs="仿宋"/>
          <w:b/>
          <w:bCs/>
          <w:sz w:val="24"/>
          <w:szCs w:val="24"/>
          <w:lang w:val="zh-CN"/>
        </w:rPr>
        <w:t>合同总金额</w:t>
      </w:r>
    </w:p>
    <w:p>
      <w:pPr>
        <w:spacing w:line="360" w:lineRule="auto"/>
        <w:ind w:firstLine="480" w:firstLineChars="200"/>
        <w:rPr>
          <w:rFonts w:ascii="仿宋" w:hAnsi="仿宋" w:eastAsia="仿宋" w:cs="仿宋"/>
          <w:sz w:val="24"/>
          <w:szCs w:val="24"/>
          <w:u w:val="single"/>
          <w:lang w:val="zh-CN"/>
        </w:rPr>
      </w:pPr>
      <w:r>
        <w:rPr>
          <w:rFonts w:hint="eastAsia" w:ascii="仿宋" w:hAnsi="仿宋" w:eastAsia="仿宋" w:cs="仿宋"/>
          <w:sz w:val="24"/>
          <w:szCs w:val="24"/>
          <w:lang w:val="zh-CN"/>
        </w:rPr>
        <w:t>合同总金额为人民币（大写）：</w:t>
      </w:r>
      <w:r>
        <w:rPr>
          <w:rFonts w:ascii="仿宋" w:hAnsi="仿宋" w:eastAsia="仿宋" w:cs="仿宋"/>
          <w:sz w:val="24"/>
          <w:szCs w:val="24"/>
          <w:u w:val="single"/>
          <w:lang w:val="zh-CN"/>
        </w:rPr>
        <w:t xml:space="preserve">             </w:t>
      </w:r>
      <w:r>
        <w:rPr>
          <w:rFonts w:hint="eastAsia" w:ascii="仿宋" w:hAnsi="仿宋" w:eastAsia="仿宋" w:cs="仿宋"/>
          <w:sz w:val="24"/>
          <w:szCs w:val="24"/>
          <w:lang w:val="zh-CN"/>
        </w:rPr>
        <w:t>（￥</w:t>
      </w:r>
      <w:r>
        <w:rPr>
          <w:rFonts w:ascii="仿宋" w:hAnsi="仿宋" w:eastAsia="仿宋" w:cs="仿宋"/>
          <w:sz w:val="24"/>
          <w:szCs w:val="24"/>
          <w:u w:val="single"/>
          <w:lang w:val="zh-CN"/>
        </w:rPr>
        <w:t xml:space="preserve">        </w:t>
      </w:r>
      <w:r>
        <w:rPr>
          <w:rFonts w:hint="eastAsia" w:ascii="仿宋" w:hAnsi="仿宋" w:eastAsia="仿宋" w:cs="仿宋"/>
          <w:sz w:val="24"/>
          <w:szCs w:val="24"/>
          <w:lang w:val="zh-CN"/>
        </w:rPr>
        <w:t>）</w:t>
      </w:r>
      <w:r>
        <w:rPr>
          <w:rFonts w:ascii="仿宋" w:hAnsi="仿宋" w:eastAsia="仿宋" w:cs="仿宋"/>
          <w:sz w:val="24"/>
          <w:szCs w:val="24"/>
          <w:lang w:val="zh-CN"/>
        </w:rPr>
        <w:t xml:space="preserve"> </w:t>
      </w:r>
    </w:p>
    <w:p>
      <w:pPr>
        <w:spacing w:line="360" w:lineRule="auto"/>
        <w:ind w:firstLine="482" w:firstLineChars="200"/>
        <w:rPr>
          <w:rFonts w:ascii="仿宋" w:hAnsi="仿宋" w:eastAsia="仿宋" w:cs="仿宋"/>
          <w:b/>
          <w:bCs/>
          <w:sz w:val="24"/>
          <w:szCs w:val="24"/>
          <w:lang w:val="zh-CN"/>
        </w:rPr>
      </w:pPr>
      <w:r>
        <w:rPr>
          <w:rFonts w:hint="eastAsia" w:ascii="仿宋" w:hAnsi="仿宋" w:eastAsia="仿宋" w:cs="仿宋"/>
          <w:b/>
          <w:bCs/>
          <w:sz w:val="24"/>
          <w:szCs w:val="24"/>
          <w:lang w:val="zh-CN"/>
        </w:rPr>
        <w:t>第三条  质量要求及技术标准</w:t>
      </w:r>
    </w:p>
    <w:p>
      <w:pPr>
        <w:spacing w:line="360" w:lineRule="auto"/>
        <w:ind w:firstLine="480" w:firstLineChars="200"/>
        <w:rPr>
          <w:rFonts w:hint="default" w:ascii="仿宋" w:hAnsi="仿宋" w:eastAsia="仿宋" w:cs="仿宋"/>
          <w:sz w:val="24"/>
          <w:szCs w:val="24"/>
          <w:lang w:val="en-US" w:eastAsia="zh-CN"/>
        </w:rPr>
      </w:pPr>
      <w:r>
        <w:rPr>
          <w:rFonts w:ascii="仿宋" w:hAnsi="仿宋" w:eastAsia="仿宋" w:cs="仿宋"/>
          <w:sz w:val="24"/>
          <w:szCs w:val="24"/>
          <w:lang w:val="zh-CN"/>
        </w:rPr>
        <w:t>1</w:t>
      </w:r>
      <w:r>
        <w:rPr>
          <w:rFonts w:hint="eastAsia" w:ascii="仿宋" w:hAnsi="仿宋" w:eastAsia="仿宋" w:cs="仿宋"/>
          <w:sz w:val="24"/>
          <w:szCs w:val="24"/>
          <w:lang w:val="zh-CN"/>
        </w:rPr>
        <w:t>.</w:t>
      </w:r>
      <w:r>
        <w:rPr>
          <w:rFonts w:hint="eastAsia" w:ascii="仿宋" w:hAnsi="仿宋" w:eastAsia="仿宋" w:cs="仿宋"/>
          <w:sz w:val="24"/>
          <w:szCs w:val="24"/>
          <w:lang w:val="en-US" w:eastAsia="zh-CN"/>
        </w:rPr>
        <w:t>服务人员数量：乙方应提供总计</w:t>
      </w:r>
      <w:r>
        <w:rPr>
          <w:rFonts w:ascii="仿宋" w:hAnsi="仿宋" w:eastAsia="仿宋" w:cs="仿宋"/>
          <w:sz w:val="24"/>
          <w:szCs w:val="24"/>
          <w:u w:val="single"/>
          <w:lang w:val="zh-CN"/>
        </w:rPr>
        <w:t xml:space="preserve">   </w:t>
      </w:r>
      <w:r>
        <w:rPr>
          <w:rFonts w:hint="eastAsia" w:ascii="仿宋" w:hAnsi="仿宋" w:eastAsia="仿宋" w:cs="仿宋"/>
          <w:sz w:val="24"/>
          <w:szCs w:val="24"/>
          <w:u w:val="single"/>
          <w:lang w:val="en-US" w:eastAsia="zh-CN"/>
        </w:rPr>
        <w:t xml:space="preserve">    </w:t>
      </w:r>
      <w:r>
        <w:rPr>
          <w:rFonts w:ascii="仿宋" w:hAnsi="仿宋" w:eastAsia="仿宋" w:cs="仿宋"/>
          <w:sz w:val="24"/>
          <w:szCs w:val="24"/>
          <w:u w:val="single"/>
          <w:lang w:val="zh-CN"/>
        </w:rPr>
        <w:t xml:space="preserve">  </w:t>
      </w:r>
      <w:r>
        <w:rPr>
          <w:rFonts w:hint="eastAsia" w:ascii="仿宋" w:hAnsi="仿宋" w:eastAsia="仿宋" w:cs="仿宋"/>
          <w:sz w:val="24"/>
          <w:szCs w:val="24"/>
          <w:u w:val="none"/>
          <w:lang w:val="en-US" w:eastAsia="zh-CN"/>
        </w:rPr>
        <w:t>人为本项目服务，其中项目经理</w:t>
      </w:r>
      <w:r>
        <w:rPr>
          <w:rFonts w:ascii="仿宋" w:hAnsi="仿宋" w:eastAsia="仿宋" w:cs="仿宋"/>
          <w:sz w:val="24"/>
          <w:szCs w:val="24"/>
          <w:u w:val="single"/>
          <w:lang w:val="zh-CN"/>
        </w:rPr>
        <w:t xml:space="preserve">     </w:t>
      </w:r>
      <w:r>
        <w:rPr>
          <w:rFonts w:hint="eastAsia" w:ascii="仿宋" w:hAnsi="仿宋" w:eastAsia="仿宋" w:cs="仿宋"/>
          <w:sz w:val="24"/>
          <w:szCs w:val="24"/>
          <w:u w:val="none"/>
          <w:lang w:val="en-US" w:eastAsia="zh-CN"/>
        </w:rPr>
        <w:t>人，保洁人员</w:t>
      </w:r>
      <w:r>
        <w:rPr>
          <w:rFonts w:ascii="仿宋" w:hAnsi="仿宋" w:eastAsia="仿宋" w:cs="仿宋"/>
          <w:sz w:val="24"/>
          <w:szCs w:val="24"/>
          <w:u w:val="single"/>
          <w:lang w:val="zh-CN"/>
        </w:rPr>
        <w:t xml:space="preserve">     </w:t>
      </w:r>
      <w:r>
        <w:rPr>
          <w:rFonts w:hint="eastAsia" w:ascii="仿宋" w:hAnsi="仿宋" w:eastAsia="仿宋" w:cs="仿宋"/>
          <w:sz w:val="24"/>
          <w:szCs w:val="24"/>
          <w:u w:val="none"/>
          <w:lang w:val="en-US" w:eastAsia="zh-CN"/>
        </w:rPr>
        <w:t>人.......</w:t>
      </w:r>
    </w:p>
    <w:p>
      <w:pPr>
        <w:spacing w:line="360" w:lineRule="auto"/>
        <w:ind w:firstLine="480" w:firstLineChars="20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2.保洁服务：</w:t>
      </w:r>
    </w:p>
    <w:p>
      <w:pPr>
        <w:pStyle w:val="8"/>
        <w:ind w:left="0" w:leftChars="0" w:firstLine="640"/>
        <w:rPr>
          <w:rFonts w:ascii="仿宋" w:hAnsi="仿宋" w:eastAsia="仿宋" w:cs="仿宋"/>
          <w:sz w:val="24"/>
          <w:szCs w:val="24"/>
        </w:rPr>
      </w:pPr>
      <w:r>
        <w:rPr>
          <w:rFonts w:hint="eastAsia" w:ascii="仿宋" w:hAnsi="仿宋" w:eastAsia="仿宋" w:cs="仿宋"/>
          <w:sz w:val="24"/>
          <w:szCs w:val="24"/>
        </w:rPr>
        <w:t>......</w:t>
      </w:r>
    </w:p>
    <w:p>
      <w:pPr>
        <w:spacing w:line="360" w:lineRule="auto"/>
        <w:ind w:firstLine="482" w:firstLineChars="200"/>
        <w:rPr>
          <w:rFonts w:ascii="仿宋" w:hAnsi="仿宋" w:eastAsia="仿宋" w:cs="仿宋"/>
          <w:b/>
          <w:bCs/>
          <w:sz w:val="24"/>
          <w:szCs w:val="24"/>
          <w:lang w:val="zh-CN"/>
        </w:rPr>
      </w:pPr>
      <w:r>
        <w:rPr>
          <w:rFonts w:hint="eastAsia" w:ascii="仿宋" w:hAnsi="仿宋" w:eastAsia="仿宋" w:cs="仿宋"/>
          <w:b/>
          <w:bCs/>
          <w:sz w:val="24"/>
          <w:szCs w:val="24"/>
          <w:lang w:val="zh-CN"/>
        </w:rPr>
        <w:t>第</w:t>
      </w:r>
      <w:r>
        <w:rPr>
          <w:rFonts w:hint="eastAsia" w:ascii="仿宋" w:hAnsi="仿宋" w:eastAsia="仿宋" w:cs="仿宋"/>
          <w:b/>
          <w:bCs/>
          <w:sz w:val="24"/>
          <w:szCs w:val="24"/>
        </w:rPr>
        <w:t>六</w:t>
      </w:r>
      <w:r>
        <w:rPr>
          <w:rFonts w:hint="eastAsia" w:ascii="仿宋" w:hAnsi="仿宋" w:eastAsia="仿宋" w:cs="仿宋"/>
          <w:b/>
          <w:bCs/>
          <w:sz w:val="24"/>
          <w:szCs w:val="24"/>
          <w:lang w:val="zh-CN"/>
        </w:rPr>
        <w:t>条  支付</w:t>
      </w:r>
    </w:p>
    <w:p>
      <w:pPr>
        <w:widowControl/>
        <w:spacing w:line="360" w:lineRule="auto"/>
        <w:ind w:firstLine="480" w:firstLineChars="200"/>
        <w:rPr>
          <w:rFonts w:ascii="仿宋" w:hAnsi="仿宋" w:eastAsia="仿宋"/>
          <w:sz w:val="24"/>
          <w:szCs w:val="24"/>
        </w:rPr>
      </w:pPr>
      <w:r>
        <w:rPr>
          <w:rFonts w:hint="eastAsia" w:ascii="仿宋" w:hAnsi="仿宋" w:eastAsia="仿宋"/>
          <w:sz w:val="24"/>
          <w:szCs w:val="24"/>
        </w:rPr>
        <w:t>1. 物业服务费用按</w:t>
      </w:r>
      <w:r>
        <w:rPr>
          <w:rFonts w:hint="eastAsia" w:ascii="仿宋" w:hAnsi="仿宋" w:eastAsia="仿宋"/>
          <w:sz w:val="24"/>
          <w:szCs w:val="24"/>
          <w:u w:val="single"/>
        </w:rPr>
        <w:t>(月/季度/年)</w:t>
      </w:r>
      <w:r>
        <w:rPr>
          <w:rFonts w:hint="eastAsia" w:ascii="仿宋" w:hAnsi="仿宋" w:eastAsia="仿宋"/>
          <w:sz w:val="24"/>
          <w:szCs w:val="24"/>
        </w:rPr>
        <w:t>支付，每</w:t>
      </w:r>
      <w:r>
        <w:rPr>
          <w:rFonts w:hint="eastAsia" w:ascii="仿宋" w:hAnsi="仿宋" w:eastAsia="仿宋"/>
          <w:sz w:val="24"/>
          <w:szCs w:val="24"/>
          <w:u w:val="single"/>
        </w:rPr>
        <w:t>(月/季度/年)</w:t>
      </w:r>
      <w:r>
        <w:rPr>
          <w:rFonts w:hint="eastAsia" w:ascii="仿宋" w:hAnsi="仿宋" w:eastAsia="仿宋"/>
          <w:sz w:val="24"/>
          <w:szCs w:val="24"/>
        </w:rPr>
        <w:t>支付</w:t>
      </w:r>
      <w:r>
        <w:rPr>
          <w:rFonts w:hint="eastAsia" w:ascii="仿宋" w:hAnsi="仿宋" w:eastAsia="仿宋"/>
          <w:sz w:val="24"/>
          <w:szCs w:val="24"/>
          <w:lang w:val="en-US" w:eastAsia="zh-CN"/>
        </w:rPr>
        <w:t>，</w:t>
      </w:r>
      <w:r>
        <w:rPr>
          <w:rFonts w:hint="eastAsia" w:ascii="仿宋" w:hAnsi="仿宋" w:eastAsia="仿宋"/>
          <w:sz w:val="24"/>
          <w:szCs w:val="24"/>
        </w:rPr>
        <w:t>合同总金额</w:t>
      </w:r>
      <w:r>
        <w:rPr>
          <w:rFonts w:hint="eastAsia" w:ascii="仿宋" w:hAnsi="仿宋" w:eastAsia="仿宋"/>
          <w:sz w:val="24"/>
          <w:szCs w:val="24"/>
          <w:u w:val="single"/>
        </w:rPr>
        <w:t xml:space="preserve">  %</w:t>
      </w:r>
      <w:r>
        <w:rPr>
          <w:rFonts w:hint="eastAsia" w:ascii="仿宋" w:hAnsi="仿宋" w:eastAsia="仿宋"/>
          <w:sz w:val="24"/>
          <w:szCs w:val="24"/>
          <w:lang w:eastAsia="zh-CN"/>
        </w:rPr>
        <w:t>，</w:t>
      </w:r>
      <w:r>
        <w:rPr>
          <w:rFonts w:hint="eastAsia" w:ascii="仿宋" w:hAnsi="仿宋" w:eastAsia="仿宋"/>
          <w:sz w:val="24"/>
          <w:szCs w:val="24"/>
          <w:lang w:val="en-US" w:eastAsia="zh-CN"/>
        </w:rPr>
        <w:t>根据考核结果据实结算</w:t>
      </w:r>
      <w:r>
        <w:rPr>
          <w:rFonts w:hint="eastAsia" w:ascii="仿宋" w:hAnsi="仿宋" w:eastAsia="仿宋"/>
          <w:sz w:val="24"/>
          <w:szCs w:val="24"/>
        </w:rPr>
        <w:t>。</w:t>
      </w:r>
    </w:p>
    <w:p>
      <w:pPr>
        <w:pStyle w:val="8"/>
        <w:ind w:left="0" w:leftChars="0" w:firstLine="640"/>
        <w:rPr>
          <w:rFonts w:ascii="仿宋" w:hAnsi="仿宋" w:eastAsia="仿宋" w:cs="仿宋"/>
          <w:sz w:val="24"/>
          <w:szCs w:val="24"/>
        </w:rPr>
      </w:pPr>
      <w:r>
        <w:rPr>
          <w:rFonts w:hint="eastAsia" w:ascii="仿宋" w:hAnsi="仿宋" w:eastAsia="仿宋" w:cs="仿宋"/>
          <w:sz w:val="24"/>
          <w:szCs w:val="24"/>
        </w:rPr>
        <w:t xml:space="preserve">  ......</w:t>
      </w:r>
    </w:p>
    <w:p>
      <w:pPr>
        <w:numPr>
          <w:ilvl w:val="0"/>
          <w:numId w:val="21"/>
        </w:numPr>
        <w:spacing w:line="360" w:lineRule="auto"/>
        <w:ind w:firstLine="482" w:firstLineChars="200"/>
        <w:rPr>
          <w:rFonts w:ascii="仿宋" w:hAnsi="仿宋" w:eastAsia="仿宋" w:cs="仿宋"/>
          <w:b/>
          <w:bCs/>
          <w:sz w:val="24"/>
          <w:szCs w:val="24"/>
          <w:lang w:val="zh-CN"/>
        </w:rPr>
      </w:pPr>
      <w:r>
        <w:rPr>
          <w:rFonts w:hint="eastAsia" w:ascii="仿宋" w:hAnsi="仿宋" w:eastAsia="仿宋" w:cs="仿宋"/>
          <w:b/>
          <w:bCs/>
          <w:sz w:val="24"/>
          <w:szCs w:val="24"/>
          <w:lang w:val="zh-CN"/>
        </w:rPr>
        <w:t xml:space="preserve"> 质量标准及验收约定</w:t>
      </w:r>
    </w:p>
    <w:p>
      <w:pPr>
        <w:widowControl/>
        <w:numPr>
          <w:ilvl w:val="0"/>
          <w:numId w:val="22"/>
        </w:numPr>
        <w:spacing w:line="360" w:lineRule="auto"/>
        <w:ind w:firstLine="480" w:firstLineChars="200"/>
        <w:rPr>
          <w:rFonts w:ascii="仿宋" w:hAnsi="仿宋" w:eastAsia="仿宋"/>
          <w:sz w:val="24"/>
          <w:szCs w:val="24"/>
        </w:rPr>
      </w:pPr>
      <w:r>
        <w:rPr>
          <w:rFonts w:hint="eastAsia" w:ascii="仿宋" w:hAnsi="仿宋" w:eastAsia="仿宋"/>
          <w:sz w:val="24"/>
          <w:szCs w:val="24"/>
        </w:rPr>
        <w:t>验收标准：.......</w:t>
      </w:r>
    </w:p>
    <w:p>
      <w:pPr>
        <w:pStyle w:val="8"/>
        <w:numPr>
          <w:ilvl w:val="0"/>
          <w:numId w:val="22"/>
        </w:numPr>
        <w:ind w:left="0" w:leftChars="0" w:firstLine="480" w:firstLineChars="200"/>
        <w:rPr>
          <w:rFonts w:ascii="仿宋" w:hAnsi="仿宋" w:eastAsia="仿宋" w:cs="仿宋"/>
          <w:sz w:val="24"/>
          <w:szCs w:val="24"/>
        </w:rPr>
      </w:pPr>
      <w:r>
        <w:rPr>
          <w:rFonts w:hint="eastAsia" w:ascii="仿宋" w:hAnsi="仿宋" w:eastAsia="仿宋" w:cs="仿宋"/>
          <w:sz w:val="24"/>
          <w:szCs w:val="24"/>
          <w:lang w:val="en-US" w:eastAsia="zh-CN"/>
        </w:rPr>
        <w:t>验收程序：</w:t>
      </w:r>
      <w:r>
        <w:rPr>
          <w:rFonts w:hint="eastAsia" w:ascii="仿宋" w:hAnsi="仿宋" w:eastAsia="仿宋" w:cs="仿宋"/>
          <w:sz w:val="24"/>
          <w:szCs w:val="24"/>
        </w:rPr>
        <w:t xml:space="preserve">  ......</w:t>
      </w:r>
    </w:p>
    <w:p>
      <w:pPr>
        <w:numPr>
          <w:ilvl w:val="0"/>
          <w:numId w:val="21"/>
        </w:numPr>
        <w:spacing w:line="360" w:lineRule="auto"/>
        <w:ind w:firstLine="482" w:firstLineChars="200"/>
        <w:rPr>
          <w:rFonts w:ascii="仿宋" w:hAnsi="仿宋" w:eastAsia="仿宋" w:cs="仿宋"/>
          <w:b/>
          <w:bCs/>
          <w:sz w:val="24"/>
          <w:szCs w:val="24"/>
          <w:lang w:val="zh-CN"/>
        </w:rPr>
      </w:pPr>
      <w:r>
        <w:rPr>
          <w:rFonts w:hint="eastAsia" w:ascii="仿宋" w:hAnsi="仿宋" w:eastAsia="仿宋" w:cs="仿宋"/>
          <w:b/>
          <w:bCs/>
          <w:sz w:val="24"/>
          <w:szCs w:val="24"/>
          <w:lang w:val="zh-CN"/>
        </w:rPr>
        <w:t>违约责任</w:t>
      </w:r>
    </w:p>
    <w:p>
      <w:pPr>
        <w:widowControl/>
        <w:numPr>
          <w:ilvl w:val="0"/>
          <w:numId w:val="23"/>
        </w:numPr>
        <w:spacing w:line="360" w:lineRule="auto"/>
        <w:ind w:firstLine="480" w:firstLineChars="200"/>
        <w:rPr>
          <w:rFonts w:ascii="仿宋" w:hAnsi="仿宋" w:eastAsia="仿宋"/>
          <w:sz w:val="24"/>
          <w:szCs w:val="24"/>
        </w:rPr>
      </w:pPr>
      <w:r>
        <w:rPr>
          <w:rFonts w:hint="eastAsia" w:ascii="仿宋" w:hAnsi="仿宋" w:eastAsia="仿宋"/>
          <w:sz w:val="24"/>
          <w:szCs w:val="24"/>
        </w:rPr>
        <w:t>甲方应按期支付货款，每逾期一天，应向乙方支付货款总额</w:t>
      </w:r>
      <w:r>
        <w:rPr>
          <w:rFonts w:hint="eastAsia" w:ascii="仿宋" w:hAnsi="仿宋" w:eastAsia="仿宋"/>
          <w:sz w:val="24"/>
          <w:szCs w:val="24"/>
          <w:u w:val="single"/>
        </w:rPr>
        <w:t xml:space="preserve">   </w:t>
      </w:r>
      <w:r>
        <w:rPr>
          <w:rFonts w:hint="eastAsia" w:ascii="仿宋" w:hAnsi="仿宋" w:eastAsia="仿宋"/>
          <w:sz w:val="24"/>
          <w:szCs w:val="24"/>
        </w:rPr>
        <w:t>%的滞纳金；</w:t>
      </w:r>
    </w:p>
    <w:p>
      <w:pPr>
        <w:widowControl/>
        <w:numPr>
          <w:ilvl w:val="0"/>
          <w:numId w:val="23"/>
        </w:numPr>
        <w:spacing w:line="360" w:lineRule="auto"/>
        <w:ind w:firstLine="480" w:firstLineChars="200"/>
        <w:rPr>
          <w:rFonts w:ascii="仿宋" w:hAnsi="仿宋" w:eastAsia="仿宋"/>
          <w:sz w:val="24"/>
          <w:szCs w:val="24"/>
        </w:rPr>
      </w:pPr>
      <w:r>
        <w:rPr>
          <w:rFonts w:hint="eastAsia" w:ascii="仿宋" w:hAnsi="仿宋" w:eastAsia="仿宋"/>
          <w:sz w:val="24"/>
          <w:szCs w:val="24"/>
        </w:rPr>
        <w:t>乙方</w:t>
      </w:r>
      <w:r>
        <w:rPr>
          <w:rFonts w:hint="eastAsia" w:ascii="仿宋" w:hAnsi="仿宋" w:eastAsia="仿宋"/>
          <w:sz w:val="24"/>
          <w:szCs w:val="24"/>
          <w:lang w:val="en-US" w:eastAsia="zh-CN"/>
        </w:rPr>
        <w:t>未按合同签订的要求提供相关服务，或无法完全保障人员数量到岗，每发现一次，扣除每次支付比例的</w:t>
      </w:r>
      <w:r>
        <w:rPr>
          <w:rFonts w:hint="eastAsia" w:ascii="仿宋" w:hAnsi="仿宋" w:eastAsia="仿宋"/>
          <w:sz w:val="24"/>
          <w:szCs w:val="24"/>
          <w:u w:val="single"/>
        </w:rPr>
        <w:t xml:space="preserve">   </w:t>
      </w:r>
      <w:r>
        <w:rPr>
          <w:rFonts w:hint="eastAsia" w:ascii="仿宋" w:hAnsi="仿宋" w:eastAsia="仿宋"/>
          <w:sz w:val="24"/>
          <w:szCs w:val="24"/>
        </w:rPr>
        <w:t>%</w:t>
      </w:r>
      <w:r>
        <w:rPr>
          <w:rFonts w:hint="eastAsia" w:ascii="仿宋" w:hAnsi="仿宋" w:eastAsia="仿宋"/>
          <w:sz w:val="24"/>
          <w:szCs w:val="24"/>
          <w:lang w:eastAsia="zh-CN"/>
        </w:rPr>
        <w:t>；</w:t>
      </w:r>
    </w:p>
    <w:p>
      <w:pPr>
        <w:pStyle w:val="8"/>
        <w:ind w:left="0" w:leftChars="0" w:firstLine="640"/>
        <w:rPr>
          <w:rFonts w:ascii="仿宋" w:hAnsi="仿宋" w:eastAsia="仿宋" w:cs="仿宋"/>
          <w:b/>
          <w:bCs/>
          <w:sz w:val="24"/>
          <w:szCs w:val="24"/>
        </w:rPr>
      </w:pPr>
      <w:r>
        <w:rPr>
          <w:rFonts w:hint="eastAsia" w:ascii="仿宋" w:hAnsi="仿宋" w:eastAsia="仿宋" w:cs="仿宋"/>
          <w:sz w:val="24"/>
          <w:szCs w:val="24"/>
        </w:rPr>
        <w:t xml:space="preserve">  ......</w:t>
      </w:r>
    </w:p>
    <w:p>
      <w:pPr>
        <w:numPr>
          <w:ilvl w:val="0"/>
          <w:numId w:val="21"/>
        </w:numPr>
        <w:spacing w:line="360" w:lineRule="auto"/>
        <w:ind w:firstLine="482" w:firstLineChars="200"/>
        <w:rPr>
          <w:rFonts w:ascii="仿宋" w:hAnsi="仿宋" w:eastAsia="仿宋" w:cs="仿宋"/>
          <w:b/>
          <w:bCs/>
          <w:sz w:val="24"/>
          <w:szCs w:val="24"/>
          <w:lang w:val="zh-CN"/>
        </w:rPr>
      </w:pPr>
      <w:r>
        <w:rPr>
          <w:rFonts w:hint="eastAsia" w:ascii="仿宋" w:hAnsi="仿宋" w:eastAsia="仿宋" w:cs="仿宋"/>
          <w:b/>
          <w:bCs/>
          <w:sz w:val="24"/>
          <w:szCs w:val="24"/>
          <w:lang w:val="zh-CN"/>
        </w:rPr>
        <w:t>其他约定：</w:t>
      </w:r>
    </w:p>
    <w:p>
      <w:pPr>
        <w:widowControl/>
        <w:numPr>
          <w:ilvl w:val="0"/>
          <w:numId w:val="24"/>
        </w:numPr>
        <w:spacing w:line="360" w:lineRule="auto"/>
        <w:ind w:firstLine="480" w:firstLineChars="200"/>
        <w:rPr>
          <w:rFonts w:ascii="仿宋" w:hAnsi="仿宋" w:eastAsia="仿宋"/>
          <w:sz w:val="24"/>
          <w:szCs w:val="24"/>
        </w:rPr>
      </w:pPr>
      <w:r>
        <w:rPr>
          <w:rFonts w:hint="eastAsia" w:ascii="仿宋" w:hAnsi="仿宋" w:eastAsia="仿宋"/>
          <w:sz w:val="24"/>
          <w:szCs w:val="24"/>
        </w:rPr>
        <w:t>合同签订后，制作要求和内容如另作改动，则提货日期自改动之日起顺延，因改动所增加的费用由甲方承担。</w:t>
      </w:r>
    </w:p>
    <w:p>
      <w:pPr>
        <w:widowControl/>
        <w:numPr>
          <w:ilvl w:val="0"/>
          <w:numId w:val="24"/>
        </w:numPr>
        <w:spacing w:line="360" w:lineRule="auto"/>
        <w:ind w:firstLine="480" w:firstLineChars="200"/>
        <w:rPr>
          <w:rFonts w:ascii="仿宋" w:hAnsi="仿宋" w:eastAsia="仿宋"/>
          <w:sz w:val="24"/>
          <w:szCs w:val="24"/>
        </w:rPr>
      </w:pPr>
      <w:r>
        <w:rPr>
          <w:rFonts w:hint="eastAsia" w:ascii="仿宋" w:hAnsi="仿宋" w:eastAsia="仿宋"/>
          <w:sz w:val="24"/>
          <w:szCs w:val="24"/>
        </w:rPr>
        <w:t>甲方付款前，乙方应先行提供需付款金额的有效发票。</w:t>
      </w:r>
    </w:p>
    <w:p>
      <w:pPr>
        <w:widowControl/>
        <w:numPr>
          <w:ilvl w:val="0"/>
          <w:numId w:val="24"/>
        </w:numPr>
        <w:spacing w:line="360" w:lineRule="auto"/>
        <w:ind w:firstLine="480" w:firstLineChars="200"/>
        <w:rPr>
          <w:rFonts w:ascii="仿宋" w:hAnsi="仿宋" w:eastAsia="仿宋"/>
          <w:sz w:val="24"/>
          <w:szCs w:val="24"/>
        </w:rPr>
      </w:pPr>
      <w:r>
        <w:rPr>
          <w:rFonts w:hint="eastAsia" w:ascii="仿宋" w:hAnsi="仿宋" w:eastAsia="仿宋"/>
          <w:sz w:val="24"/>
          <w:szCs w:val="24"/>
        </w:rPr>
        <w:t>本合同一式</w:t>
      </w:r>
      <w:r>
        <w:rPr>
          <w:rFonts w:hint="eastAsia" w:ascii="仿宋" w:hAnsi="仿宋" w:eastAsia="仿宋"/>
          <w:sz w:val="24"/>
          <w:szCs w:val="24"/>
          <w:u w:val="single"/>
        </w:rPr>
        <w:t xml:space="preserve">   </w:t>
      </w:r>
      <w:r>
        <w:rPr>
          <w:rFonts w:hint="eastAsia" w:ascii="仿宋" w:hAnsi="仿宋" w:eastAsia="仿宋"/>
          <w:sz w:val="24"/>
          <w:szCs w:val="24"/>
        </w:rPr>
        <w:t>份，甲、乙双方各执</w:t>
      </w:r>
      <w:r>
        <w:rPr>
          <w:rFonts w:hint="eastAsia" w:ascii="仿宋" w:hAnsi="仿宋" w:eastAsia="仿宋"/>
          <w:sz w:val="24"/>
          <w:szCs w:val="24"/>
          <w:u w:val="single"/>
        </w:rPr>
        <w:t xml:space="preserve">   </w:t>
      </w:r>
      <w:r>
        <w:rPr>
          <w:rFonts w:hint="eastAsia" w:ascii="仿宋" w:hAnsi="仿宋" w:eastAsia="仿宋"/>
          <w:sz w:val="24"/>
          <w:szCs w:val="24"/>
        </w:rPr>
        <w:t>份。</w:t>
      </w:r>
    </w:p>
    <w:p>
      <w:pPr>
        <w:widowControl/>
        <w:numPr>
          <w:ilvl w:val="0"/>
          <w:numId w:val="24"/>
        </w:numPr>
        <w:spacing w:line="360" w:lineRule="auto"/>
        <w:ind w:firstLine="480" w:firstLineChars="200"/>
        <w:rPr>
          <w:rFonts w:ascii="仿宋" w:hAnsi="仿宋" w:eastAsia="仿宋"/>
          <w:sz w:val="24"/>
          <w:szCs w:val="24"/>
        </w:rPr>
      </w:pPr>
      <w:r>
        <w:rPr>
          <w:rFonts w:hint="eastAsia" w:ascii="仿宋" w:hAnsi="仿宋" w:eastAsia="仿宋"/>
          <w:sz w:val="24"/>
          <w:szCs w:val="24"/>
        </w:rPr>
        <w:t>协议由双方加盖公章后生效。</w:t>
      </w:r>
    </w:p>
    <w:p>
      <w:pPr>
        <w:widowControl/>
        <w:numPr>
          <w:ilvl w:val="0"/>
          <w:numId w:val="24"/>
        </w:numPr>
        <w:spacing w:line="360" w:lineRule="auto"/>
        <w:ind w:firstLine="480" w:firstLineChars="200"/>
        <w:rPr>
          <w:rFonts w:ascii="仿宋" w:hAnsi="仿宋" w:eastAsia="仿宋"/>
          <w:sz w:val="24"/>
          <w:szCs w:val="24"/>
        </w:rPr>
      </w:pPr>
      <w:r>
        <w:rPr>
          <w:rFonts w:hint="eastAsia" w:ascii="仿宋" w:hAnsi="仿宋" w:eastAsia="仿宋"/>
          <w:sz w:val="24"/>
          <w:szCs w:val="24"/>
        </w:rPr>
        <w:t>未尽事宜，经双方协商一致，可以签订补充协议，补充协议与本协议具有同等效力。</w:t>
      </w:r>
    </w:p>
    <w:p>
      <w:pPr>
        <w:widowControl/>
        <w:numPr>
          <w:ilvl w:val="0"/>
          <w:numId w:val="24"/>
        </w:numPr>
        <w:spacing w:line="360" w:lineRule="auto"/>
        <w:ind w:firstLine="480" w:firstLineChars="200"/>
        <w:rPr>
          <w:rFonts w:ascii="Times New Roman" w:hAnsi="Times New Roman" w:cs="Times New Roman"/>
          <w:sz w:val="24"/>
          <w:szCs w:val="24"/>
        </w:rPr>
      </w:pPr>
      <w:r>
        <w:rPr>
          <w:rFonts w:hint="eastAsia" w:ascii="仿宋" w:hAnsi="仿宋" w:eastAsia="仿宋"/>
          <w:sz w:val="24"/>
          <w:szCs w:val="24"/>
        </w:rPr>
        <w:t>争议解决。本协议有关争议由双方平等协商解决，如协商未能达成一致，可提交有关主管部门调解；协商或调解不成的，提交</w:t>
      </w:r>
      <w:r>
        <w:rPr>
          <w:rFonts w:hint="eastAsia" w:ascii="仿宋" w:hAnsi="仿宋" w:eastAsia="仿宋"/>
          <w:sz w:val="24"/>
          <w:szCs w:val="24"/>
          <w:u w:val="single"/>
        </w:rPr>
        <w:t xml:space="preserve">   </w:t>
      </w:r>
      <w:r>
        <w:rPr>
          <w:rFonts w:hint="eastAsia" w:ascii="仿宋" w:hAnsi="仿宋" w:eastAsia="仿宋"/>
          <w:sz w:val="24"/>
          <w:szCs w:val="24"/>
        </w:rPr>
        <w:t>仲裁委员会仲裁/向法定管辖法院提起诉讼。</w:t>
      </w:r>
    </w:p>
    <w:p>
      <w:pPr>
        <w:pStyle w:val="8"/>
        <w:ind w:left="0" w:leftChars="0" w:firstLine="640"/>
        <w:rPr>
          <w:rFonts w:ascii="仿宋" w:hAnsi="仿宋" w:eastAsia="仿宋" w:cs="仿宋"/>
          <w:b/>
          <w:bCs/>
          <w:sz w:val="24"/>
          <w:szCs w:val="24"/>
        </w:rPr>
      </w:pPr>
      <w:r>
        <w:rPr>
          <w:rFonts w:hint="eastAsia" w:ascii="仿宋" w:hAnsi="仿宋" w:eastAsia="仿宋" w:cs="仿宋"/>
          <w:sz w:val="24"/>
          <w:szCs w:val="24"/>
        </w:rPr>
        <w:t xml:space="preserve">  ......</w:t>
      </w:r>
    </w:p>
    <w:p>
      <w:pPr>
        <w:spacing w:line="360" w:lineRule="auto"/>
        <w:rPr>
          <w:rFonts w:ascii="仿宋" w:hAnsi="仿宋" w:eastAsia="仿宋"/>
          <w:sz w:val="24"/>
          <w:szCs w:val="24"/>
        </w:rPr>
      </w:pPr>
    </w:p>
    <w:p>
      <w:pPr>
        <w:tabs>
          <w:tab w:val="left" w:pos="5040"/>
        </w:tabs>
        <w:rPr>
          <w:rFonts w:ascii="仿宋" w:hAnsi="仿宋" w:eastAsia="仿宋"/>
          <w:sz w:val="24"/>
          <w:szCs w:val="24"/>
        </w:rPr>
      </w:pPr>
      <w:r>
        <w:rPr>
          <w:rFonts w:hint="eastAsia" w:ascii="仿宋" w:hAnsi="仿宋" w:eastAsia="仿宋"/>
          <w:sz w:val="24"/>
          <w:szCs w:val="24"/>
        </w:rPr>
        <w:t>甲方：                          乙方：</w:t>
      </w:r>
    </w:p>
    <w:p>
      <w:pPr>
        <w:spacing w:line="360" w:lineRule="auto"/>
        <w:ind w:firstLine="1200" w:firstLineChars="500"/>
        <w:rPr>
          <w:rFonts w:ascii="仿宋" w:hAnsi="仿宋" w:eastAsia="仿宋"/>
          <w:sz w:val="24"/>
          <w:szCs w:val="24"/>
        </w:rPr>
      </w:pPr>
    </w:p>
    <w:p>
      <w:pPr>
        <w:spacing w:line="360" w:lineRule="auto"/>
        <w:rPr>
          <w:rFonts w:ascii="仿宋" w:hAnsi="仿宋" w:eastAsia="仿宋"/>
          <w:sz w:val="24"/>
          <w:szCs w:val="24"/>
        </w:rPr>
      </w:pPr>
      <w:r>
        <w:rPr>
          <w:rFonts w:hint="eastAsia" w:ascii="仿宋" w:hAnsi="仿宋" w:eastAsia="仿宋"/>
          <w:sz w:val="24"/>
          <w:szCs w:val="24"/>
        </w:rPr>
        <w:t>授权代表：                      授权代表：</w:t>
      </w:r>
    </w:p>
    <w:p>
      <w:pPr>
        <w:spacing w:line="360" w:lineRule="auto"/>
        <w:ind w:left="420"/>
        <w:rPr>
          <w:rFonts w:ascii="仿宋" w:hAnsi="仿宋" w:eastAsia="仿宋"/>
          <w:sz w:val="24"/>
          <w:szCs w:val="24"/>
        </w:rPr>
      </w:pPr>
    </w:p>
    <w:p>
      <w:pPr>
        <w:spacing w:before="78" w:beforeLines="25" w:line="360" w:lineRule="auto"/>
        <w:contextualSpacing/>
        <w:jc w:val="left"/>
        <w:rPr>
          <w:rFonts w:hint="eastAsia" w:ascii="仿宋" w:hAnsi="仿宋" w:eastAsia="仿宋" w:cs="仿宋"/>
          <w:kern w:val="0"/>
          <w:sz w:val="24"/>
          <w:szCs w:val="20"/>
        </w:rPr>
      </w:pPr>
      <w:r>
        <w:rPr>
          <w:rFonts w:hint="eastAsia" w:ascii="仿宋" w:hAnsi="仿宋" w:eastAsia="仿宋"/>
          <w:sz w:val="24"/>
          <w:szCs w:val="24"/>
        </w:rPr>
        <w:t>年  月  日                       年  月  日</w:t>
      </w:r>
    </w:p>
    <w:p>
      <w:pPr>
        <w:rPr>
          <w:rFonts w:hint="default"/>
          <w:lang w:val="en-US" w:eastAsia="zh-CN"/>
        </w:rPr>
      </w:pPr>
    </w:p>
    <w:sectPr>
      <w:pgSz w:w="11906" w:h="16838"/>
      <w:pgMar w:top="1440" w:right="1803" w:bottom="1440" w:left="1803" w:header="851" w:footer="992" w:gutter="0"/>
      <w:pgBorders>
        <w:top w:val="none" w:sz="0" w:space="0"/>
        <w:left w:val="none" w:sz="0" w:space="0"/>
        <w:bottom w:val="none" w:sz="0" w:space="0"/>
        <w:right w:val="none" w:sz="0" w:space="0"/>
      </w:pgBorders>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仿宋_GB2312">
    <w:panose1 w:val="02010609030101010101"/>
    <w:charset w:val="86"/>
    <w:family w:val="modern"/>
    <w:pitch w:val="default"/>
    <w:sig w:usb0="00000001" w:usb1="080E0000" w:usb2="0000000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AA743F"/>
    <w:multiLevelType w:val="singleLevel"/>
    <w:tmpl w:val="87AA743F"/>
    <w:lvl w:ilvl="0" w:tentative="0">
      <w:start w:val="1"/>
      <w:numFmt w:val="decimal"/>
      <w:lvlText w:val="%1."/>
      <w:lvlJc w:val="left"/>
      <w:pPr>
        <w:ind w:left="425" w:hanging="425"/>
      </w:pPr>
      <w:rPr>
        <w:rFonts w:hint="default"/>
      </w:rPr>
    </w:lvl>
  </w:abstractNum>
  <w:abstractNum w:abstractNumId="1">
    <w:nsid w:val="8FD546DE"/>
    <w:multiLevelType w:val="singleLevel"/>
    <w:tmpl w:val="8FD546DE"/>
    <w:lvl w:ilvl="0" w:tentative="0">
      <w:start w:val="1"/>
      <w:numFmt w:val="decimal"/>
      <w:lvlText w:val="%1."/>
      <w:lvlJc w:val="left"/>
      <w:pPr>
        <w:ind w:left="425" w:hanging="425"/>
      </w:pPr>
      <w:rPr>
        <w:rFonts w:hint="default"/>
      </w:rPr>
    </w:lvl>
  </w:abstractNum>
  <w:abstractNum w:abstractNumId="2">
    <w:nsid w:val="9928EFB8"/>
    <w:multiLevelType w:val="singleLevel"/>
    <w:tmpl w:val="9928EFB8"/>
    <w:lvl w:ilvl="0" w:tentative="0">
      <w:start w:val="1"/>
      <w:numFmt w:val="decimal"/>
      <w:lvlText w:val="%1."/>
      <w:lvlJc w:val="left"/>
      <w:pPr>
        <w:ind w:left="425" w:hanging="425"/>
      </w:pPr>
      <w:rPr>
        <w:rFonts w:hint="default"/>
      </w:rPr>
    </w:lvl>
  </w:abstractNum>
  <w:abstractNum w:abstractNumId="3">
    <w:nsid w:val="A1C0FBA6"/>
    <w:multiLevelType w:val="singleLevel"/>
    <w:tmpl w:val="A1C0FBA6"/>
    <w:lvl w:ilvl="0" w:tentative="0">
      <w:start w:val="1"/>
      <w:numFmt w:val="decimal"/>
      <w:lvlText w:val="%1."/>
      <w:lvlJc w:val="left"/>
      <w:pPr>
        <w:ind w:left="425" w:hanging="425"/>
      </w:pPr>
      <w:rPr>
        <w:rFonts w:hint="default"/>
      </w:rPr>
    </w:lvl>
  </w:abstractNum>
  <w:abstractNum w:abstractNumId="4">
    <w:nsid w:val="B3288857"/>
    <w:multiLevelType w:val="singleLevel"/>
    <w:tmpl w:val="B3288857"/>
    <w:lvl w:ilvl="0" w:tentative="0">
      <w:start w:val="1"/>
      <w:numFmt w:val="decimal"/>
      <w:lvlText w:val="%1."/>
      <w:lvlJc w:val="left"/>
      <w:pPr>
        <w:ind w:left="425" w:hanging="425"/>
      </w:pPr>
      <w:rPr>
        <w:rFonts w:hint="default"/>
      </w:rPr>
    </w:lvl>
  </w:abstractNum>
  <w:abstractNum w:abstractNumId="5">
    <w:nsid w:val="D2B7DD27"/>
    <w:multiLevelType w:val="singleLevel"/>
    <w:tmpl w:val="D2B7DD27"/>
    <w:lvl w:ilvl="0" w:tentative="0">
      <w:start w:val="1"/>
      <w:numFmt w:val="decimal"/>
      <w:lvlText w:val="%1."/>
      <w:lvlJc w:val="left"/>
      <w:pPr>
        <w:ind w:left="425" w:hanging="425"/>
      </w:pPr>
      <w:rPr>
        <w:rFonts w:hint="default"/>
      </w:rPr>
    </w:lvl>
  </w:abstractNum>
  <w:abstractNum w:abstractNumId="6">
    <w:nsid w:val="D7D6B546"/>
    <w:multiLevelType w:val="singleLevel"/>
    <w:tmpl w:val="D7D6B546"/>
    <w:lvl w:ilvl="0" w:tentative="0">
      <w:start w:val="1"/>
      <w:numFmt w:val="decimal"/>
      <w:lvlText w:val="%1."/>
      <w:lvlJc w:val="left"/>
      <w:pPr>
        <w:ind w:left="425" w:hanging="425"/>
      </w:pPr>
      <w:rPr>
        <w:rFonts w:hint="default"/>
      </w:rPr>
    </w:lvl>
  </w:abstractNum>
  <w:abstractNum w:abstractNumId="7">
    <w:nsid w:val="DE307510"/>
    <w:multiLevelType w:val="singleLevel"/>
    <w:tmpl w:val="DE307510"/>
    <w:lvl w:ilvl="0" w:tentative="0">
      <w:start w:val="1"/>
      <w:numFmt w:val="decimal"/>
      <w:lvlText w:val="%1."/>
      <w:lvlJc w:val="left"/>
      <w:pPr>
        <w:ind w:left="425" w:hanging="425"/>
      </w:pPr>
      <w:rPr>
        <w:rFonts w:hint="default"/>
      </w:rPr>
    </w:lvl>
  </w:abstractNum>
  <w:abstractNum w:abstractNumId="8">
    <w:nsid w:val="E053402D"/>
    <w:multiLevelType w:val="singleLevel"/>
    <w:tmpl w:val="E053402D"/>
    <w:lvl w:ilvl="0" w:tentative="0">
      <w:start w:val="1"/>
      <w:numFmt w:val="decimal"/>
      <w:lvlText w:val="%1."/>
      <w:lvlJc w:val="left"/>
      <w:pPr>
        <w:ind w:left="425" w:hanging="425"/>
      </w:pPr>
      <w:rPr>
        <w:rFonts w:hint="default"/>
      </w:rPr>
    </w:lvl>
  </w:abstractNum>
  <w:abstractNum w:abstractNumId="9">
    <w:nsid w:val="E4B0D1E8"/>
    <w:multiLevelType w:val="singleLevel"/>
    <w:tmpl w:val="E4B0D1E8"/>
    <w:lvl w:ilvl="0" w:tentative="0">
      <w:start w:val="1"/>
      <w:numFmt w:val="decimal"/>
      <w:lvlText w:val="%1."/>
      <w:lvlJc w:val="left"/>
      <w:pPr>
        <w:tabs>
          <w:tab w:val="left" w:pos="312"/>
        </w:tabs>
      </w:pPr>
    </w:lvl>
  </w:abstractNum>
  <w:abstractNum w:abstractNumId="10">
    <w:nsid w:val="E5ACFE7B"/>
    <w:multiLevelType w:val="singleLevel"/>
    <w:tmpl w:val="E5ACFE7B"/>
    <w:lvl w:ilvl="0" w:tentative="0">
      <w:start w:val="1"/>
      <w:numFmt w:val="chineseCounting"/>
      <w:suff w:val="nothing"/>
      <w:lvlText w:val="（%1）"/>
      <w:lvlJc w:val="left"/>
      <w:rPr>
        <w:rFonts w:hint="eastAsia"/>
      </w:rPr>
    </w:lvl>
  </w:abstractNum>
  <w:abstractNum w:abstractNumId="11">
    <w:nsid w:val="E70958FA"/>
    <w:multiLevelType w:val="singleLevel"/>
    <w:tmpl w:val="E70958FA"/>
    <w:lvl w:ilvl="0" w:tentative="0">
      <w:start w:val="1"/>
      <w:numFmt w:val="decimal"/>
      <w:lvlText w:val="%1."/>
      <w:lvlJc w:val="left"/>
      <w:pPr>
        <w:tabs>
          <w:tab w:val="left" w:pos="312"/>
        </w:tabs>
      </w:pPr>
    </w:lvl>
  </w:abstractNum>
  <w:abstractNum w:abstractNumId="12">
    <w:nsid w:val="164E58DF"/>
    <w:multiLevelType w:val="singleLevel"/>
    <w:tmpl w:val="164E58DF"/>
    <w:lvl w:ilvl="0" w:tentative="0">
      <w:start w:val="1"/>
      <w:numFmt w:val="decimal"/>
      <w:lvlText w:val="%1."/>
      <w:lvlJc w:val="left"/>
      <w:pPr>
        <w:ind w:left="425" w:hanging="425"/>
      </w:pPr>
      <w:rPr>
        <w:rFonts w:hint="default"/>
      </w:rPr>
    </w:lvl>
  </w:abstractNum>
  <w:abstractNum w:abstractNumId="13">
    <w:nsid w:val="18D4B7FD"/>
    <w:multiLevelType w:val="singleLevel"/>
    <w:tmpl w:val="18D4B7FD"/>
    <w:lvl w:ilvl="0" w:tentative="0">
      <w:start w:val="1"/>
      <w:numFmt w:val="decimal"/>
      <w:suff w:val="nothing"/>
      <w:lvlText w:val="%1、"/>
      <w:lvlJc w:val="left"/>
    </w:lvl>
  </w:abstractNum>
  <w:abstractNum w:abstractNumId="14">
    <w:nsid w:val="1EDD0DEE"/>
    <w:multiLevelType w:val="singleLevel"/>
    <w:tmpl w:val="1EDD0DEE"/>
    <w:lvl w:ilvl="0" w:tentative="0">
      <w:start w:val="1"/>
      <w:numFmt w:val="chineseCounting"/>
      <w:suff w:val="space"/>
      <w:lvlText w:val="第%1条"/>
      <w:lvlJc w:val="left"/>
      <w:rPr>
        <w:rFonts w:hint="eastAsia"/>
      </w:rPr>
    </w:lvl>
  </w:abstractNum>
  <w:abstractNum w:abstractNumId="15">
    <w:nsid w:val="1FF30173"/>
    <w:multiLevelType w:val="singleLevel"/>
    <w:tmpl w:val="1FF30173"/>
    <w:lvl w:ilvl="0" w:tentative="0">
      <w:start w:val="1"/>
      <w:numFmt w:val="decimal"/>
      <w:lvlText w:val="%1."/>
      <w:lvlJc w:val="left"/>
      <w:pPr>
        <w:ind w:left="425" w:hanging="425"/>
      </w:pPr>
      <w:rPr>
        <w:rFonts w:hint="default"/>
      </w:rPr>
    </w:lvl>
  </w:abstractNum>
  <w:abstractNum w:abstractNumId="16">
    <w:nsid w:val="336853BA"/>
    <w:multiLevelType w:val="multilevel"/>
    <w:tmpl w:val="336853BA"/>
    <w:lvl w:ilvl="0" w:tentative="0">
      <w:start w:val="1"/>
      <w:numFmt w:val="chineseCountingThousand"/>
      <w:lvlText w:val="%1、"/>
      <w:lvlJc w:val="left"/>
      <w:pPr>
        <w:ind w:left="420" w:hanging="420"/>
      </w:pPr>
      <w:rPr>
        <w:rFonts w:hint="eastAsia"/>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45D22A7E"/>
    <w:multiLevelType w:val="singleLevel"/>
    <w:tmpl w:val="45D22A7E"/>
    <w:lvl w:ilvl="0" w:tentative="0">
      <w:start w:val="7"/>
      <w:numFmt w:val="chineseCounting"/>
      <w:suff w:val="space"/>
      <w:lvlText w:val="第%1条"/>
      <w:lvlJc w:val="left"/>
      <w:rPr>
        <w:rFonts w:hint="eastAsia"/>
      </w:rPr>
    </w:lvl>
  </w:abstractNum>
  <w:abstractNum w:abstractNumId="18">
    <w:nsid w:val="4BC7C176"/>
    <w:multiLevelType w:val="singleLevel"/>
    <w:tmpl w:val="4BC7C176"/>
    <w:lvl w:ilvl="0" w:tentative="0">
      <w:start w:val="1"/>
      <w:numFmt w:val="decimal"/>
      <w:lvlText w:val="%1."/>
      <w:lvlJc w:val="left"/>
      <w:pPr>
        <w:ind w:left="425" w:hanging="425"/>
      </w:pPr>
      <w:rPr>
        <w:rFonts w:hint="default"/>
      </w:rPr>
    </w:lvl>
  </w:abstractNum>
  <w:abstractNum w:abstractNumId="19">
    <w:nsid w:val="4C607CCA"/>
    <w:multiLevelType w:val="singleLevel"/>
    <w:tmpl w:val="4C607CCA"/>
    <w:lvl w:ilvl="0" w:tentative="0">
      <w:start w:val="1"/>
      <w:numFmt w:val="decimal"/>
      <w:lvlText w:val="%1."/>
      <w:lvlJc w:val="left"/>
      <w:pPr>
        <w:tabs>
          <w:tab w:val="left" w:pos="312"/>
        </w:tabs>
      </w:pPr>
    </w:lvl>
  </w:abstractNum>
  <w:abstractNum w:abstractNumId="20">
    <w:nsid w:val="4EAF5455"/>
    <w:multiLevelType w:val="multilevel"/>
    <w:tmpl w:val="4EAF5455"/>
    <w:lvl w:ilvl="0" w:tentative="0">
      <w:start w:val="1"/>
      <w:numFmt w:val="chineseCountingThousand"/>
      <w:lvlText w:val="第%1章  "/>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62177967"/>
    <w:multiLevelType w:val="singleLevel"/>
    <w:tmpl w:val="62177967"/>
    <w:lvl w:ilvl="0" w:tentative="0">
      <w:start w:val="1"/>
      <w:numFmt w:val="chineseCounting"/>
      <w:suff w:val="nothing"/>
      <w:lvlText w:val="%1、"/>
      <w:lvlJc w:val="left"/>
      <w:rPr>
        <w:rFonts w:hint="eastAsia"/>
      </w:rPr>
    </w:lvl>
  </w:abstractNum>
  <w:abstractNum w:abstractNumId="22">
    <w:nsid w:val="734E38A9"/>
    <w:multiLevelType w:val="singleLevel"/>
    <w:tmpl w:val="734E38A9"/>
    <w:lvl w:ilvl="0" w:tentative="0">
      <w:start w:val="1"/>
      <w:numFmt w:val="decimal"/>
      <w:lvlText w:val="%1."/>
      <w:lvlJc w:val="left"/>
      <w:pPr>
        <w:ind w:left="425" w:hanging="425"/>
      </w:pPr>
      <w:rPr>
        <w:rFonts w:hint="default"/>
      </w:rPr>
    </w:lvl>
  </w:abstractNum>
  <w:abstractNum w:abstractNumId="23">
    <w:nsid w:val="7B455492"/>
    <w:multiLevelType w:val="singleLevel"/>
    <w:tmpl w:val="7B455492"/>
    <w:lvl w:ilvl="0" w:tentative="0">
      <w:start w:val="1"/>
      <w:numFmt w:val="decimal"/>
      <w:lvlText w:val="%1."/>
      <w:lvlJc w:val="left"/>
      <w:pPr>
        <w:ind w:left="425" w:hanging="425"/>
      </w:pPr>
      <w:rPr>
        <w:rFonts w:hint="default"/>
      </w:rPr>
    </w:lvl>
  </w:abstractNum>
  <w:num w:numId="1">
    <w:abstractNumId w:val="20"/>
  </w:num>
  <w:num w:numId="2">
    <w:abstractNumId w:val="16"/>
  </w:num>
  <w:num w:numId="3">
    <w:abstractNumId w:val="13"/>
  </w:num>
  <w:num w:numId="4">
    <w:abstractNumId w:val="21"/>
  </w:num>
  <w:num w:numId="5">
    <w:abstractNumId w:val="18"/>
  </w:num>
  <w:num w:numId="6">
    <w:abstractNumId w:val="6"/>
  </w:num>
  <w:num w:numId="7">
    <w:abstractNumId w:val="2"/>
  </w:num>
  <w:num w:numId="8">
    <w:abstractNumId w:val="12"/>
  </w:num>
  <w:num w:numId="9">
    <w:abstractNumId w:val="10"/>
  </w:num>
  <w:num w:numId="10">
    <w:abstractNumId w:val="23"/>
  </w:num>
  <w:num w:numId="11">
    <w:abstractNumId w:val="22"/>
  </w:num>
  <w:num w:numId="12">
    <w:abstractNumId w:val="5"/>
  </w:num>
  <w:num w:numId="13">
    <w:abstractNumId w:val="1"/>
  </w:num>
  <w:num w:numId="14">
    <w:abstractNumId w:val="7"/>
  </w:num>
  <w:num w:numId="15">
    <w:abstractNumId w:val="8"/>
  </w:num>
  <w:num w:numId="16">
    <w:abstractNumId w:val="3"/>
  </w:num>
  <w:num w:numId="17">
    <w:abstractNumId w:val="4"/>
  </w:num>
  <w:num w:numId="18">
    <w:abstractNumId w:val="0"/>
  </w:num>
  <w:num w:numId="19">
    <w:abstractNumId w:val="15"/>
  </w:num>
  <w:num w:numId="20">
    <w:abstractNumId w:val="14"/>
  </w:num>
  <w:num w:numId="21">
    <w:abstractNumId w:val="17"/>
  </w:num>
  <w:num w:numId="22">
    <w:abstractNumId w:val="11"/>
  </w:num>
  <w:num w:numId="23">
    <w:abstractNumId w:val="19"/>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ZlMjg0OGE1OWNkOWNiZmFhZmFjZGM1ZmRmNzYxMTIifQ=="/>
  </w:docVars>
  <w:rsids>
    <w:rsidRoot w:val="00000000"/>
    <w:rsid w:val="017D28C1"/>
    <w:rsid w:val="01850355"/>
    <w:rsid w:val="0DA42044"/>
    <w:rsid w:val="0DB8117B"/>
    <w:rsid w:val="127C3D8D"/>
    <w:rsid w:val="14DF6901"/>
    <w:rsid w:val="1AE161F4"/>
    <w:rsid w:val="23A57875"/>
    <w:rsid w:val="23DF399F"/>
    <w:rsid w:val="252B790F"/>
    <w:rsid w:val="260C5F4F"/>
    <w:rsid w:val="2C140402"/>
    <w:rsid w:val="2CE42E59"/>
    <w:rsid w:val="2E921363"/>
    <w:rsid w:val="2F182194"/>
    <w:rsid w:val="30A55D24"/>
    <w:rsid w:val="32DD6F86"/>
    <w:rsid w:val="39E2480A"/>
    <w:rsid w:val="3A01547E"/>
    <w:rsid w:val="3AF47336"/>
    <w:rsid w:val="4601182F"/>
    <w:rsid w:val="48B22206"/>
    <w:rsid w:val="49701909"/>
    <w:rsid w:val="4F3C2A29"/>
    <w:rsid w:val="51573475"/>
    <w:rsid w:val="5192766A"/>
    <w:rsid w:val="52F14F20"/>
    <w:rsid w:val="55141D1A"/>
    <w:rsid w:val="567A2542"/>
    <w:rsid w:val="575E0B95"/>
    <w:rsid w:val="57E27FED"/>
    <w:rsid w:val="5A483D9D"/>
    <w:rsid w:val="5C64042A"/>
    <w:rsid w:val="5F9269FE"/>
    <w:rsid w:val="65F25003"/>
    <w:rsid w:val="691B6668"/>
    <w:rsid w:val="6D5075E6"/>
    <w:rsid w:val="6D89137E"/>
    <w:rsid w:val="6F4B22B5"/>
    <w:rsid w:val="6FA7263B"/>
    <w:rsid w:val="707A1791"/>
    <w:rsid w:val="70C7738F"/>
    <w:rsid w:val="73392261"/>
    <w:rsid w:val="77440983"/>
    <w:rsid w:val="7EEC63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table of authorities"/>
    <w:basedOn w:val="1"/>
    <w:next w:val="1"/>
    <w:semiHidden/>
    <w:qFormat/>
    <w:uiPriority w:val="0"/>
    <w:pPr>
      <w:ind w:left="420" w:leftChars="200"/>
    </w:pPr>
  </w:style>
  <w:style w:type="paragraph" w:styleId="5">
    <w:name w:val="annotation text"/>
    <w:basedOn w:val="1"/>
    <w:qFormat/>
    <w:uiPriority w:val="0"/>
    <w:pPr>
      <w:jc w:val="left"/>
    </w:pPr>
  </w:style>
  <w:style w:type="paragraph" w:styleId="6">
    <w:name w:val="Body Text"/>
    <w:basedOn w:val="1"/>
    <w:next w:val="1"/>
    <w:semiHidden/>
    <w:unhideWhenUsed/>
    <w:qFormat/>
    <w:uiPriority w:val="99"/>
    <w:pPr>
      <w:spacing w:after="120"/>
    </w:pPr>
  </w:style>
  <w:style w:type="paragraph" w:styleId="7">
    <w:name w:val="Body Text Indent"/>
    <w:basedOn w:val="1"/>
    <w:next w:val="8"/>
    <w:semiHidden/>
    <w:unhideWhenUsed/>
    <w:qFormat/>
    <w:uiPriority w:val="99"/>
    <w:pPr>
      <w:spacing w:after="120"/>
      <w:ind w:left="420" w:leftChars="200"/>
    </w:pPr>
  </w:style>
  <w:style w:type="paragraph" w:styleId="8">
    <w:name w:val="Body Text First Indent 2"/>
    <w:basedOn w:val="7"/>
    <w:semiHidden/>
    <w:unhideWhenUsed/>
    <w:qFormat/>
    <w:uiPriority w:val="99"/>
    <w:pPr>
      <w:ind w:firstLine="420" w:firstLineChars="200"/>
    </w:pPr>
  </w:style>
  <w:style w:type="paragraph" w:styleId="9">
    <w:name w:val="Plain Text"/>
    <w:basedOn w:val="1"/>
    <w:qFormat/>
    <w:uiPriority w:val="0"/>
    <w:rPr>
      <w:rFonts w:ascii="宋体" w:hAnsi="Courier New" w:cs="Courier New"/>
    </w:rPr>
  </w:style>
  <w:style w:type="paragraph" w:styleId="10">
    <w:name w:val="footer"/>
    <w:basedOn w:val="1"/>
    <w:unhideWhenUsed/>
    <w:qFormat/>
    <w:uiPriority w:val="99"/>
    <w:pPr>
      <w:tabs>
        <w:tab w:val="center" w:pos="4153"/>
        <w:tab w:val="right" w:pos="8306"/>
      </w:tabs>
      <w:snapToGrid w:val="0"/>
      <w:jc w:val="left"/>
    </w:pPr>
    <w:rPr>
      <w:rFonts w:ascii="Calibri" w:hAnsi="Calibri" w:eastAsia="宋体" w:cs="Times New Roman"/>
      <w:sz w:val="18"/>
      <w:szCs w:val="18"/>
    </w:rPr>
  </w:style>
  <w:style w:type="paragraph" w:styleId="11">
    <w:name w:val="header"/>
    <w:basedOn w:val="1"/>
    <w:next w:val="1"/>
    <w:unhideWhenUsed/>
    <w:qFormat/>
    <w:uiPriority w:val="99"/>
    <w:pPr>
      <w:pBdr>
        <w:bottom w:val="single" w:color="auto" w:sz="6" w:space="1"/>
      </w:pBdr>
      <w:tabs>
        <w:tab w:val="center" w:pos="4153"/>
        <w:tab w:val="right" w:pos="8306"/>
      </w:tabs>
      <w:snapToGrid w:val="0"/>
      <w:jc w:val="center"/>
    </w:pPr>
    <w:rPr>
      <w:sz w:val="18"/>
      <w:szCs w:val="18"/>
    </w:rPr>
  </w:style>
  <w:style w:type="table" w:styleId="13">
    <w:name w:val="Table Grid"/>
    <w:basedOn w:val="12"/>
    <w:qFormat/>
    <w:uiPriority w:val="3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page number"/>
    <w:basedOn w:val="14"/>
    <w:qFormat/>
    <w:uiPriority w:val="0"/>
  </w:style>
  <w:style w:type="character" w:styleId="16">
    <w:name w:val="Hyperlink"/>
    <w:basedOn w:val="14"/>
    <w:qFormat/>
    <w:uiPriority w:val="0"/>
    <w:rPr>
      <w:color w:val="0000FF"/>
      <w:u w:val="single"/>
    </w:rPr>
  </w:style>
  <w:style w:type="paragraph" w:styleId="17">
    <w:name w:val="List Paragraph"/>
    <w:basedOn w:val="1"/>
    <w:qFormat/>
    <w:uiPriority w:val="34"/>
    <w:pPr>
      <w:ind w:firstLine="420" w:firstLineChars="200"/>
    </w:pPr>
  </w:style>
  <w:style w:type="paragraph" w:customStyle="1" w:styleId="18">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character" w:customStyle="1" w:styleId="19">
    <w:name w:val="fontstyle21"/>
    <w:basedOn w:val="14"/>
    <w:qFormat/>
    <w:uiPriority w:val="0"/>
    <w:rPr>
      <w:rFonts w:hint="eastAsia" w:ascii="华文仿宋" w:hAnsi="华文仿宋" w:eastAsia="华文仿宋"/>
      <w:color w:val="000000"/>
      <w:sz w:val="28"/>
      <w:szCs w:val="28"/>
    </w:rPr>
  </w:style>
  <w:style w:type="paragraph" w:customStyle="1" w:styleId="20">
    <w:name w:val="Body text|2"/>
    <w:basedOn w:val="1"/>
    <w:qFormat/>
    <w:uiPriority w:val="0"/>
    <w:pPr>
      <w:spacing w:line="391" w:lineRule="auto"/>
      <w:ind w:firstLine="400"/>
    </w:pPr>
    <w:rPr>
      <w:rFonts w:ascii="宋体" w:hAnsi="宋体" w:eastAsia="宋体" w:cs="宋体"/>
      <w:sz w:val="30"/>
      <w:szCs w:val="30"/>
      <w:lang w:val="zh-TW" w:eastAsia="zh-TW" w:bidi="zh-TW"/>
    </w:rPr>
  </w:style>
  <w:style w:type="table" w:customStyle="1" w:styleId="2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13188</Words>
  <Characters>13352</Characters>
  <Lines>0</Lines>
  <Paragraphs>0</Paragraphs>
  <TotalTime>14</TotalTime>
  <ScaleCrop>false</ScaleCrop>
  <LinksUpToDate>false</LinksUpToDate>
  <CharactersWithSpaces>13665</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2022-05-23T01:04:00Z</dcterms:created>
  <dc:creator>65287</dc:creator>
  <cp:lastModifiedBy>张三</cp:lastModifiedBy>
  <dcterms:modified xsi:type="dcterms:W3CDTF">2023-03-21T01:50:09Z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C3D8B79D3E354175A2BB4DC45CC40CA9</vt:lpwstr>
  </property>
</Properties>
</file>