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9D97DD">
      <w:pPr>
        <w:pStyle w:val="2"/>
        <w:numPr>
          <w:ilvl w:val="255"/>
          <w:numId w:val="0"/>
        </w:numPr>
        <w:spacing w:before="0" w:after="0"/>
        <w:ind w:left="420" w:firstLine="0"/>
        <w:rPr>
          <w:rFonts w:hint="eastAsia" w:ascii="仿宋_GB2312" w:hAnsi="仿宋_GB2312" w:eastAsia="仿宋_GB2312" w:cs="仿宋_GB2312"/>
          <w:sz w:val="24"/>
          <w:szCs w:val="24"/>
        </w:rPr>
      </w:pPr>
      <w:bookmarkStart w:id="34" w:name="_GoBack"/>
      <w:bookmarkEnd w:id="34"/>
      <w:bookmarkStart w:id="0" w:name="_Toc88818240"/>
      <w:r>
        <w:rPr>
          <w:rFonts w:hint="eastAsia" w:ascii="仿宋_GB2312" w:hAnsi="仿宋_GB2312" w:eastAsia="仿宋_GB2312" w:cs="仿宋_GB2312"/>
          <w:sz w:val="24"/>
          <w:szCs w:val="24"/>
        </w:rPr>
        <w:t>一、采购内容</w:t>
      </w:r>
      <w:bookmarkEnd w:id="0"/>
    </w:p>
    <w:tbl>
      <w:tblPr>
        <w:tblStyle w:val="6"/>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1"/>
        <w:gridCol w:w="852"/>
        <w:gridCol w:w="5427"/>
      </w:tblGrid>
      <w:tr w14:paraId="1DFD3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941" w:type="dxa"/>
            <w:vAlign w:val="center"/>
          </w:tcPr>
          <w:p w14:paraId="2E0CDB3D">
            <w:pPr>
              <w:spacing w:line="36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采购内容</w:t>
            </w:r>
          </w:p>
        </w:tc>
        <w:tc>
          <w:tcPr>
            <w:tcW w:w="852" w:type="dxa"/>
            <w:vAlign w:val="center"/>
          </w:tcPr>
          <w:p w14:paraId="6EF2C43F">
            <w:pPr>
              <w:spacing w:line="36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数量</w:t>
            </w:r>
          </w:p>
        </w:tc>
        <w:tc>
          <w:tcPr>
            <w:tcW w:w="5427" w:type="dxa"/>
            <w:vAlign w:val="center"/>
          </w:tcPr>
          <w:p w14:paraId="0A3D81A3">
            <w:pPr>
              <w:spacing w:line="36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主要内容</w:t>
            </w:r>
          </w:p>
        </w:tc>
      </w:tr>
      <w:tr w14:paraId="6989B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2941" w:type="dxa"/>
            <w:vAlign w:val="center"/>
          </w:tcPr>
          <w:p w14:paraId="0B3F30E6">
            <w:pP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光谷人才综合服务信息平台全过程监理服务</w:t>
            </w:r>
          </w:p>
        </w:tc>
        <w:tc>
          <w:tcPr>
            <w:tcW w:w="852" w:type="dxa"/>
            <w:vAlign w:val="center"/>
          </w:tcPr>
          <w:p w14:paraId="5C96CD7E">
            <w:pP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1项</w:t>
            </w:r>
          </w:p>
        </w:tc>
        <w:tc>
          <w:tcPr>
            <w:tcW w:w="5427" w:type="dxa"/>
          </w:tcPr>
          <w:p w14:paraId="0C137C94">
            <w:pP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服务范围：对本项目提供监理、咨询、管理等相关服务。</w:t>
            </w:r>
          </w:p>
          <w:p w14:paraId="2EA4477C">
            <w:pP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服务要求：对本项目各方面提供有效控制和管理。</w:t>
            </w:r>
          </w:p>
          <w:p w14:paraId="769734DB">
            <w:pP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服务标准：按本项目采购文件要求执行。</w:t>
            </w:r>
          </w:p>
        </w:tc>
      </w:tr>
    </w:tbl>
    <w:p w14:paraId="1C645E83">
      <w:pPr>
        <w:pStyle w:val="2"/>
        <w:numPr>
          <w:ilvl w:val="255"/>
          <w:numId w:val="0"/>
        </w:numPr>
        <w:spacing w:before="0" w:after="0"/>
        <w:ind w:left="420" w:firstLine="0"/>
        <w:rPr>
          <w:rFonts w:hint="eastAsia" w:ascii="仿宋_GB2312" w:hAnsi="仿宋_GB2312" w:eastAsia="仿宋_GB2312" w:cs="仿宋_GB2312"/>
          <w:sz w:val="24"/>
          <w:szCs w:val="24"/>
        </w:rPr>
      </w:pPr>
      <w:bookmarkStart w:id="1" w:name="_Toc88818241"/>
      <w:r>
        <w:rPr>
          <w:rFonts w:hint="eastAsia" w:ascii="仿宋_GB2312" w:hAnsi="仿宋_GB2312" w:eastAsia="仿宋_GB2312" w:cs="仿宋_GB2312"/>
          <w:sz w:val="24"/>
          <w:szCs w:val="24"/>
        </w:rPr>
        <w:t>二、监理内容及范围</w:t>
      </w:r>
      <w:bookmarkEnd w:id="1"/>
    </w:p>
    <w:p w14:paraId="11D05DFC">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项目采购范围包括升级现有的人才相关系统及功能：人才政策子系统、人才安居子系统、平台数据中心等；新建工程师子系统、产教联合体子系统、光谷驿站子系统、人才服务子系统等；以及移动端小程序、看板等开发，同时包括系统运行必备的软硬件资源等方面，项目监理应做好各个阶段审核及协调相关工作。</w:t>
      </w:r>
    </w:p>
    <w:p w14:paraId="6973F5B5">
      <w:pPr>
        <w:spacing w:line="360" w:lineRule="auto"/>
        <w:ind w:firstLine="480" w:firstLineChars="200"/>
        <w:rPr>
          <w:rFonts w:hint="eastAsia" w:ascii="仿宋_GB2312" w:hAnsi="仿宋_GB2312" w:eastAsia="仿宋_GB2312" w:cs="仿宋_GB2312"/>
          <w:sz w:val="24"/>
          <w:szCs w:val="24"/>
        </w:rPr>
      </w:pPr>
      <w:bookmarkStart w:id="2" w:name="_Toc11008"/>
      <w:r>
        <w:rPr>
          <w:rFonts w:hint="eastAsia" w:ascii="仿宋_GB2312" w:hAnsi="仿宋_GB2312" w:eastAsia="仿宋_GB2312" w:cs="仿宋_GB2312"/>
          <w:sz w:val="24"/>
          <w:szCs w:val="24"/>
        </w:rPr>
        <w:t>本项目需遵循国家、省、市信息化项目建设监理的有关文件及规范，监理单位需做好本项目监理工作，负责整个项目的全程监理，并做好项目竣工的后期服务等。同时，监理单位应采用先进、科学和适合本项目特点与项目管理技巧的手段，对本项目各个层面进行全方位的管理、控制和协调。严格控制项目投资，严禁擅自扩大项目规模、提高建设标准。认真落实投资计划执行和项目监管的主体责任，严格按初步设计中确定的技术路线、产品性能及数量等开展项目招标、合同签订、项目实施、履约验收等监管工作，确保项目建设满足要求和政府采购有关规定。同时做好租赁或购买服务的监管，加强对服务成果权属、安全、使用等方面的管理，提供的服务应符合国家和武汉市有关法律法规及相关行业标准，以实现各项监理管控目标。</w:t>
      </w:r>
      <w:bookmarkEnd w:id="2"/>
    </w:p>
    <w:p w14:paraId="3B9D3B38">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监理要对以下方面进行有效控制和管理：工程组织及技术方案的把关、项目实施和验收、投资控制、质量控制、进度控制、变更控制、合同管理、文档管理、知识产权保护以及协调有关单位之间的工作关系等。</w:t>
      </w:r>
    </w:p>
    <w:p w14:paraId="11A99701">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维护阶段监理要对维护工作以下方面进行有效控制和管理：人员培训的质量控制、维护阶段的质量控制、维护阶段系统运行情况跟踪以及协调有关单位之间的工作关系等。</w:t>
      </w:r>
    </w:p>
    <w:p w14:paraId="4AEDD2CE">
      <w:pPr>
        <w:pStyle w:val="2"/>
        <w:numPr>
          <w:ilvl w:val="255"/>
          <w:numId w:val="0"/>
        </w:numPr>
        <w:spacing w:before="0" w:after="0"/>
        <w:ind w:left="420" w:firstLine="0"/>
        <w:rPr>
          <w:rFonts w:hint="eastAsia" w:ascii="仿宋_GB2312" w:hAnsi="仿宋_GB2312" w:eastAsia="仿宋_GB2312" w:cs="仿宋_GB2312"/>
          <w:sz w:val="24"/>
          <w:szCs w:val="24"/>
        </w:rPr>
      </w:pPr>
      <w:bookmarkStart w:id="3" w:name="_Toc466320710"/>
      <w:bookmarkStart w:id="4" w:name="_Toc26350"/>
      <w:bookmarkStart w:id="5" w:name="_Toc88818242"/>
      <w:r>
        <w:rPr>
          <w:rFonts w:hint="eastAsia" w:ascii="仿宋_GB2312" w:hAnsi="仿宋_GB2312" w:eastAsia="仿宋_GB2312" w:cs="仿宋_GB2312"/>
          <w:sz w:val="24"/>
          <w:szCs w:val="24"/>
        </w:rPr>
        <w:t>三、监理职责</w:t>
      </w:r>
      <w:bookmarkEnd w:id="3"/>
      <w:bookmarkEnd w:id="4"/>
      <w:bookmarkEnd w:id="5"/>
    </w:p>
    <w:p w14:paraId="13A5D81A">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1、项目实施阶段监理职责</w:t>
      </w:r>
    </w:p>
    <w:p w14:paraId="2073C96F">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工程组织及技术方案的把关：审核和确认设计方案；审核和确认项目建设过程中的各种关键技术方案；审核和确认承建单位的组织和实施方案，承建单位提交的《项目实施计划》；审核和确认承建单位的质量保证计划、质量控制体系，工程进度计划、进度控制节点及测试方案。</w:t>
      </w:r>
    </w:p>
    <w:p w14:paraId="023EF701">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1.2工程质量控制：系统集成方案的审核和确认；对设备安装、系统软件的安装调试进行验收；对系统集成进行总体验收。</w:t>
      </w:r>
    </w:p>
    <w:p w14:paraId="0D5971D8">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工程进度控制：审核承建单位的进度分解计划，确认分解计划可以保证总体计划目标；对项目实施进度进行实时跟踪，并要求承建单位对进度计划进行动态调整，以确保项目的阶段和总体进度目标的实现；当工期目标偏离时，应及时指出，并提出对策建议，同时督促承建单位尽快采取措施。</w:t>
      </w:r>
    </w:p>
    <w:p w14:paraId="6D894FB1">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工程投资控制：通过对工程实施中的方案及设计的优化，确保投资控制在合理、性价比高的范围内；做好项目变更控制，协助建设单位做好项目支付预算的现金流量表，将付款进度、工程质量与形象进度结合起来。</w:t>
      </w:r>
    </w:p>
    <w:p w14:paraId="47E7FA7D">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工程合同管理：跟踪检查合同的执行情况，确保承建单位按时履约；对合同工期的延误和延期进行审核确认；对合同变更、索赔等事宜进行审核确认；根据合同约定，审核承建单位提交的支付申请，签发付款凭证。</w:t>
      </w:r>
    </w:p>
    <w:p w14:paraId="4F1EC2CB">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1.6信息管理／工程文档管理：做好监理日记及工程大事记；做好合同批复等各类往来文件的批复和存档；做好项目协调会、技术专题会等各项会议纪要；管理好实施期间、初验和竣工验收所需要的各类、各方技术文档；做好项目周报；做好监理建议书和监理通知书存档。</w:t>
      </w:r>
    </w:p>
    <w:p w14:paraId="40AFBF14">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1.7经业主委托，负责协调本项目所涉及的各承建单位之间的工作关系，并协调解决项目建设过程中的各类纠纷。</w:t>
      </w:r>
    </w:p>
    <w:p w14:paraId="6C194FB9">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2、维护阶段监理职责</w:t>
      </w:r>
    </w:p>
    <w:p w14:paraId="00F515B0">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2.1人员培训的质量控制：审核确认承建单位的培训计划；监督承建单位实施其培训计划，并征求用户的反馈意见；监督审查考核工作，评估培训效果；审核确认承建单位的培训总结报告。</w:t>
      </w:r>
    </w:p>
    <w:p w14:paraId="60C138D3">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2.2维护阶段的质量控制：审核承建单位提交的系统维护计划及操作手册；监督承建单位在责任维保期内的工作，定期检查维保工作的实施情况，并向业主汇报；协助业主制定维护职责等管理文件；监督承建单位认真执行缺陷责任期的工作计划，检查和验收剩余工程，对已交工工程中出现的缺陷调查其原因并确定相应责任；签发工程缺陷责任终止证书；签发最终支付证书；配合业主的竣工验收和工程移交工作。</w:t>
      </w:r>
    </w:p>
    <w:p w14:paraId="133DBE37">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2.3维护文档管理：做好维护阶段监理日记，管理好维护阶段的各类、各方技术文档。</w:t>
      </w:r>
    </w:p>
    <w:p w14:paraId="42781455">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2.4在维护期内跟踪系统运行情况，对业主反映的问题及时通知相关承建单位进行相应处理。</w:t>
      </w:r>
    </w:p>
    <w:p w14:paraId="7444563E">
      <w:pPr>
        <w:pStyle w:val="2"/>
        <w:numPr>
          <w:ilvl w:val="255"/>
          <w:numId w:val="0"/>
        </w:numPr>
        <w:spacing w:before="0" w:after="0"/>
        <w:ind w:left="420" w:firstLine="0"/>
        <w:rPr>
          <w:rFonts w:hint="eastAsia" w:ascii="仿宋_GB2312" w:hAnsi="仿宋_GB2312" w:eastAsia="仿宋_GB2312" w:cs="仿宋_GB2312"/>
          <w:sz w:val="24"/>
          <w:szCs w:val="24"/>
        </w:rPr>
      </w:pPr>
      <w:bookmarkStart w:id="6" w:name="_Toc88818243"/>
      <w:r>
        <w:rPr>
          <w:rFonts w:hint="eastAsia" w:ascii="仿宋_GB2312" w:hAnsi="仿宋_GB2312" w:eastAsia="仿宋_GB2312" w:cs="仿宋_GB2312"/>
          <w:sz w:val="24"/>
          <w:szCs w:val="24"/>
        </w:rPr>
        <w:t>四、监理服务准则</w:t>
      </w:r>
      <w:bookmarkEnd w:id="6"/>
    </w:p>
    <w:p w14:paraId="3627A721">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1、维护国家的荣誉和利益，按照“守法、诚信、公正、科学”的准则执业。</w:t>
      </w:r>
    </w:p>
    <w:p w14:paraId="1A7DBF79">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2、执行有关项目建设的法律、法规、规范、标准和制度，履行监理合同规定的义务和职责。</w:t>
      </w:r>
    </w:p>
    <w:p w14:paraId="4A25EEF6">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3、不收受其他单位或个人的任何礼金等。</w:t>
      </w:r>
    </w:p>
    <w:p w14:paraId="72A10095">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4、不泄漏所监理项目各方认为需要保密的事项。</w:t>
      </w:r>
    </w:p>
    <w:p w14:paraId="51FE89E2">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5、遵守国家的法律和政府的有关条例、规定和办法等。</w:t>
      </w:r>
    </w:p>
    <w:p w14:paraId="13A828AA">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6、认真履行项目建设监理合同所承诺的义务和承担约定的责任。</w:t>
      </w:r>
    </w:p>
    <w:p w14:paraId="0DE5E73F">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7、坚持公正的立场，公平地处理有关各方的争议。</w:t>
      </w:r>
    </w:p>
    <w:p w14:paraId="4531A209">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8、坚持科学的态度和实事求是的原则。</w:t>
      </w:r>
    </w:p>
    <w:p w14:paraId="24B3F9A0">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9、在坚持按监理合同的规定向采购人提供技术服务的同时，帮助被监理者完成其担负的建设任务。</w:t>
      </w:r>
    </w:p>
    <w:p w14:paraId="76E7E2DE">
      <w:pPr>
        <w:pStyle w:val="2"/>
        <w:numPr>
          <w:ilvl w:val="255"/>
          <w:numId w:val="0"/>
        </w:numPr>
        <w:spacing w:before="0" w:after="0"/>
        <w:ind w:left="420" w:firstLine="0"/>
        <w:rPr>
          <w:rFonts w:hint="eastAsia" w:ascii="仿宋_GB2312" w:hAnsi="仿宋_GB2312" w:eastAsia="仿宋_GB2312" w:cs="仿宋_GB2312"/>
          <w:sz w:val="24"/>
          <w:szCs w:val="24"/>
        </w:rPr>
      </w:pPr>
      <w:bookmarkStart w:id="7" w:name="_Toc88818244"/>
      <w:r>
        <w:rPr>
          <w:rFonts w:hint="eastAsia" w:ascii="仿宋_GB2312" w:hAnsi="仿宋_GB2312" w:eastAsia="仿宋_GB2312" w:cs="仿宋_GB2312"/>
          <w:sz w:val="24"/>
          <w:szCs w:val="24"/>
        </w:rPr>
        <w:t>五、监理服务目标</w:t>
      </w:r>
      <w:bookmarkEnd w:id="7"/>
    </w:p>
    <w:p w14:paraId="59B9A45D">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的监理范围包括软件系统试运行、验收阶段综合管理工作。本项目的总体监理目标主要是在各项目实施的各个阶段严格审查关键性过程和阶段性结果，检查项目功能和非功能方面是否符合项目合同和项目需求，对质量、变更和投资进行控制。</w:t>
      </w:r>
    </w:p>
    <w:p w14:paraId="2A7F4B66">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1、审核项目测试验收方案（验收目标、责任双方、验收提交清单、验收标准、验收方式、验收环境）的符合性及可行性；</w:t>
      </w:r>
    </w:p>
    <w:p w14:paraId="1442CFD0">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2、促使项目的最终功能和非功能符合承建合同、法规和标准的要求；</w:t>
      </w:r>
    </w:p>
    <w:p w14:paraId="34E3BD72">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3、推动承建方所提供的项目各阶段形成的技术、管理文档的内容和种类符合软件开发国家标准或规范。</w:t>
      </w:r>
    </w:p>
    <w:p w14:paraId="23556372">
      <w:pPr>
        <w:pStyle w:val="2"/>
        <w:numPr>
          <w:ilvl w:val="255"/>
          <w:numId w:val="0"/>
        </w:numPr>
        <w:spacing w:before="0" w:after="0"/>
        <w:ind w:left="420" w:firstLine="0"/>
        <w:rPr>
          <w:rFonts w:hint="eastAsia" w:ascii="仿宋_GB2312" w:hAnsi="仿宋_GB2312" w:eastAsia="仿宋_GB2312" w:cs="仿宋_GB2312"/>
          <w:sz w:val="24"/>
          <w:szCs w:val="24"/>
        </w:rPr>
      </w:pPr>
      <w:bookmarkStart w:id="8" w:name="_Toc16335"/>
      <w:bookmarkStart w:id="9" w:name="_Toc88818245"/>
      <w:r>
        <w:rPr>
          <w:rFonts w:hint="eastAsia" w:ascii="仿宋_GB2312" w:hAnsi="仿宋_GB2312" w:eastAsia="仿宋_GB2312" w:cs="仿宋_GB2312"/>
          <w:sz w:val="24"/>
          <w:szCs w:val="24"/>
        </w:rPr>
        <w:t>六、监理服务需求清单</w:t>
      </w:r>
      <w:bookmarkEnd w:id="8"/>
      <w:bookmarkEnd w:id="9"/>
    </w:p>
    <w:p w14:paraId="77D59401">
      <w:pPr>
        <w:spacing w:line="360" w:lineRule="auto"/>
        <w:ind w:firstLine="480" w:firstLineChars="200"/>
        <w:rPr>
          <w:rFonts w:hint="eastAsia" w:ascii="仿宋_GB2312" w:hAnsi="仿宋_GB2312" w:eastAsia="仿宋_GB2312" w:cs="仿宋_GB2312"/>
          <w:sz w:val="24"/>
          <w:szCs w:val="24"/>
        </w:rPr>
      </w:pPr>
      <w:bookmarkStart w:id="10" w:name="_Toc3744"/>
      <w:r>
        <w:rPr>
          <w:rFonts w:hint="eastAsia" w:ascii="仿宋_GB2312" w:hAnsi="仿宋_GB2312" w:eastAsia="仿宋_GB2312" w:cs="仿宋_GB2312"/>
          <w:sz w:val="24"/>
          <w:szCs w:val="24"/>
        </w:rPr>
        <w:t>因本项目属于重大项目，为保障项目过程信息的持续管理，故需要监理单位通过信息化手段实现过程管理数据的实时采集及归档留痕，并以可视化手段实现实时抓取展现，支撑项目建设成效评估及长效管理。监理单位按照我局对政府信息化项目全生命周期管理相关要求，强化项目建设过程的全方位管理、控制和协调，并及时将各阶段资料上传至相关项目管理信息化平台，便于我局第一时间把握存在问题，实时追溯。具体监理服务工作内容与输出成果要求如下：</w:t>
      </w:r>
      <w:bookmarkEnd w:id="10"/>
    </w:p>
    <w:tbl>
      <w:tblPr>
        <w:tblStyle w:val="6"/>
        <w:tblW w:w="8834" w:type="dxa"/>
        <w:tblInd w:w="-111" w:type="dxa"/>
        <w:tblLayout w:type="fixed"/>
        <w:tblCellMar>
          <w:top w:w="0" w:type="dxa"/>
          <w:left w:w="108" w:type="dxa"/>
          <w:bottom w:w="0" w:type="dxa"/>
          <w:right w:w="108" w:type="dxa"/>
        </w:tblCellMar>
      </w:tblPr>
      <w:tblGrid>
        <w:gridCol w:w="855"/>
        <w:gridCol w:w="930"/>
        <w:gridCol w:w="960"/>
        <w:gridCol w:w="4635"/>
        <w:gridCol w:w="1454"/>
      </w:tblGrid>
      <w:tr w14:paraId="6C926BCF">
        <w:tblPrEx>
          <w:tblCellMar>
            <w:top w:w="0" w:type="dxa"/>
            <w:left w:w="108" w:type="dxa"/>
            <w:bottom w:w="0" w:type="dxa"/>
            <w:right w:w="108" w:type="dxa"/>
          </w:tblCellMar>
        </w:tblPrEx>
        <w:trPr>
          <w:trHeight w:val="420" w:hRule="atLeast"/>
          <w:tblHeader/>
        </w:trPr>
        <w:tc>
          <w:tcPr>
            <w:tcW w:w="855" w:type="dxa"/>
            <w:tcBorders>
              <w:top w:val="single" w:color="auto" w:sz="4" w:space="0"/>
              <w:left w:val="single" w:color="auto" w:sz="4" w:space="0"/>
              <w:bottom w:val="single" w:color="auto" w:sz="4" w:space="0"/>
              <w:right w:val="single" w:color="auto" w:sz="4" w:space="0"/>
            </w:tcBorders>
            <w:shd w:val="pct10" w:color="auto" w:fill="auto"/>
            <w:vAlign w:val="center"/>
          </w:tcPr>
          <w:p w14:paraId="0D61D9DC">
            <w:pPr>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序号</w:t>
            </w:r>
          </w:p>
        </w:tc>
        <w:tc>
          <w:tcPr>
            <w:tcW w:w="930" w:type="dxa"/>
            <w:tcBorders>
              <w:top w:val="single" w:color="auto" w:sz="4" w:space="0"/>
              <w:left w:val="nil"/>
              <w:bottom w:val="single" w:color="auto" w:sz="4" w:space="0"/>
              <w:right w:val="single" w:color="auto" w:sz="4" w:space="0"/>
            </w:tcBorders>
            <w:shd w:val="pct10" w:color="auto" w:fill="auto"/>
            <w:vAlign w:val="center"/>
          </w:tcPr>
          <w:p w14:paraId="0324FFFB">
            <w:pPr>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内容分类</w:t>
            </w:r>
          </w:p>
        </w:tc>
        <w:tc>
          <w:tcPr>
            <w:tcW w:w="960" w:type="dxa"/>
            <w:tcBorders>
              <w:top w:val="single" w:color="auto" w:sz="4" w:space="0"/>
              <w:left w:val="nil"/>
              <w:bottom w:val="single" w:color="auto" w:sz="4" w:space="0"/>
              <w:right w:val="single" w:color="auto" w:sz="4" w:space="0"/>
            </w:tcBorders>
            <w:shd w:val="pct10" w:color="auto" w:fill="auto"/>
            <w:vAlign w:val="center"/>
          </w:tcPr>
          <w:p w14:paraId="47D8728E">
            <w:pPr>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工作内容</w:t>
            </w:r>
          </w:p>
        </w:tc>
        <w:tc>
          <w:tcPr>
            <w:tcW w:w="4635" w:type="dxa"/>
            <w:tcBorders>
              <w:top w:val="single" w:color="auto" w:sz="4" w:space="0"/>
              <w:left w:val="nil"/>
              <w:bottom w:val="single" w:color="auto" w:sz="4" w:space="0"/>
              <w:right w:val="single" w:color="auto" w:sz="4" w:space="0"/>
            </w:tcBorders>
            <w:shd w:val="pct10" w:color="auto" w:fill="auto"/>
            <w:vAlign w:val="center"/>
          </w:tcPr>
          <w:p w14:paraId="09806408">
            <w:pPr>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服务描述</w:t>
            </w:r>
          </w:p>
        </w:tc>
        <w:tc>
          <w:tcPr>
            <w:tcW w:w="1454" w:type="dxa"/>
            <w:tcBorders>
              <w:top w:val="single" w:color="auto" w:sz="4" w:space="0"/>
              <w:left w:val="nil"/>
              <w:bottom w:val="single" w:color="auto" w:sz="4" w:space="0"/>
              <w:right w:val="single" w:color="auto" w:sz="4" w:space="0"/>
            </w:tcBorders>
            <w:shd w:val="pct10" w:color="auto" w:fill="auto"/>
            <w:vAlign w:val="center"/>
          </w:tcPr>
          <w:p w14:paraId="333A64E4">
            <w:pPr>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服务成果</w:t>
            </w:r>
          </w:p>
        </w:tc>
      </w:tr>
      <w:tr w14:paraId="22E66604">
        <w:tblPrEx>
          <w:tblCellMar>
            <w:top w:w="0" w:type="dxa"/>
            <w:left w:w="108" w:type="dxa"/>
            <w:bottom w:w="0" w:type="dxa"/>
            <w:right w:w="108" w:type="dxa"/>
          </w:tblCellMar>
        </w:tblPrEx>
        <w:trPr>
          <w:trHeight w:val="90" w:hRule="atLeast"/>
        </w:trPr>
        <w:tc>
          <w:tcPr>
            <w:tcW w:w="855" w:type="dxa"/>
            <w:tcBorders>
              <w:top w:val="nil"/>
              <w:left w:val="single" w:color="auto" w:sz="4" w:space="0"/>
              <w:bottom w:val="single" w:color="auto" w:sz="4" w:space="0"/>
              <w:right w:val="single" w:color="auto" w:sz="4" w:space="0"/>
            </w:tcBorders>
            <w:vAlign w:val="center"/>
          </w:tcPr>
          <w:p w14:paraId="2686ACA7">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930" w:type="dxa"/>
            <w:vMerge w:val="restart"/>
            <w:tcBorders>
              <w:top w:val="nil"/>
              <w:left w:val="single" w:color="auto" w:sz="4" w:space="0"/>
              <w:bottom w:val="single" w:color="auto" w:sz="4" w:space="0"/>
              <w:right w:val="single" w:color="auto" w:sz="4" w:space="0"/>
            </w:tcBorders>
            <w:vAlign w:val="center"/>
          </w:tcPr>
          <w:p w14:paraId="53D1FA0D">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验收准备</w:t>
            </w:r>
          </w:p>
        </w:tc>
        <w:tc>
          <w:tcPr>
            <w:tcW w:w="960" w:type="dxa"/>
            <w:tcBorders>
              <w:top w:val="nil"/>
              <w:left w:val="nil"/>
              <w:bottom w:val="single" w:color="auto" w:sz="4" w:space="0"/>
              <w:right w:val="single" w:color="auto" w:sz="4" w:space="0"/>
            </w:tcBorders>
            <w:vAlign w:val="center"/>
          </w:tcPr>
          <w:p w14:paraId="004EB6E7">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质量检查</w:t>
            </w:r>
          </w:p>
        </w:tc>
        <w:tc>
          <w:tcPr>
            <w:tcW w:w="4635" w:type="dxa"/>
            <w:tcBorders>
              <w:top w:val="nil"/>
              <w:left w:val="nil"/>
              <w:bottom w:val="single" w:color="auto" w:sz="4" w:space="0"/>
              <w:right w:val="single" w:color="auto" w:sz="4" w:space="0"/>
            </w:tcBorders>
          </w:tcPr>
          <w:p w14:paraId="201A3E51">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1、根据项目的类型以及项目承建方提交的开发计划确定文件审查点，对项目承建方提供的过程文件（如计划、方案、报告等）进行审查和确认。</w:t>
            </w:r>
          </w:p>
          <w:p w14:paraId="1E6D802D">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2、针对项目实施过程中的需求确认、关键测试验收点设立控制点，对该质量控制点的实施过程进行认真的监督、检查，并详细记录该工作内容、质量并签字确认，作为凭证。 </w:t>
            </w:r>
          </w:p>
        </w:tc>
        <w:tc>
          <w:tcPr>
            <w:tcW w:w="1454" w:type="dxa"/>
            <w:tcBorders>
              <w:top w:val="nil"/>
              <w:left w:val="nil"/>
              <w:bottom w:val="single" w:color="auto" w:sz="4" w:space="0"/>
              <w:right w:val="single" w:color="auto" w:sz="4" w:space="0"/>
            </w:tcBorders>
            <w:vAlign w:val="center"/>
          </w:tcPr>
          <w:p w14:paraId="00DB09D6">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专题报告</w:t>
            </w:r>
          </w:p>
          <w:p w14:paraId="7E806562">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分部分项验收记录</w:t>
            </w:r>
          </w:p>
          <w:p w14:paraId="7A9F538B">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关键文档审查意见</w:t>
            </w:r>
          </w:p>
        </w:tc>
      </w:tr>
      <w:tr w14:paraId="5E632081">
        <w:tblPrEx>
          <w:tblCellMar>
            <w:top w:w="0" w:type="dxa"/>
            <w:left w:w="108" w:type="dxa"/>
            <w:bottom w:w="0" w:type="dxa"/>
            <w:right w:w="108" w:type="dxa"/>
          </w:tblCellMar>
        </w:tblPrEx>
        <w:trPr>
          <w:trHeight w:val="1768" w:hRule="atLeast"/>
        </w:trPr>
        <w:tc>
          <w:tcPr>
            <w:tcW w:w="855" w:type="dxa"/>
            <w:tcBorders>
              <w:top w:val="nil"/>
              <w:left w:val="single" w:color="auto" w:sz="4" w:space="0"/>
              <w:bottom w:val="single" w:color="auto" w:sz="4" w:space="0"/>
              <w:right w:val="single" w:color="auto" w:sz="4" w:space="0"/>
            </w:tcBorders>
            <w:vAlign w:val="center"/>
          </w:tcPr>
          <w:p w14:paraId="41652E92">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930" w:type="dxa"/>
            <w:vMerge w:val="continue"/>
            <w:tcBorders>
              <w:top w:val="nil"/>
              <w:left w:val="single" w:color="auto" w:sz="4" w:space="0"/>
              <w:bottom w:val="single" w:color="auto" w:sz="4" w:space="0"/>
              <w:right w:val="single" w:color="auto" w:sz="4" w:space="0"/>
            </w:tcBorders>
            <w:vAlign w:val="center"/>
          </w:tcPr>
          <w:p w14:paraId="53B330EC">
            <w:pPr>
              <w:rPr>
                <w:rFonts w:hint="eastAsia" w:ascii="仿宋_GB2312" w:hAnsi="仿宋_GB2312" w:eastAsia="仿宋_GB2312" w:cs="仿宋_GB2312"/>
                <w:sz w:val="24"/>
                <w:szCs w:val="24"/>
              </w:rPr>
            </w:pPr>
          </w:p>
        </w:tc>
        <w:tc>
          <w:tcPr>
            <w:tcW w:w="960" w:type="dxa"/>
            <w:tcBorders>
              <w:top w:val="nil"/>
              <w:left w:val="nil"/>
              <w:bottom w:val="single" w:color="auto" w:sz="4" w:space="0"/>
              <w:right w:val="single" w:color="auto" w:sz="4" w:space="0"/>
            </w:tcBorders>
            <w:vAlign w:val="center"/>
          </w:tcPr>
          <w:p w14:paraId="1B1B11C6">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变更审核</w:t>
            </w:r>
          </w:p>
        </w:tc>
        <w:tc>
          <w:tcPr>
            <w:tcW w:w="4635" w:type="dxa"/>
            <w:tcBorders>
              <w:top w:val="nil"/>
              <w:left w:val="nil"/>
              <w:bottom w:val="single" w:color="auto" w:sz="4" w:space="0"/>
              <w:right w:val="single" w:color="auto" w:sz="4" w:space="0"/>
            </w:tcBorders>
            <w:vAlign w:val="center"/>
          </w:tcPr>
          <w:p w14:paraId="3F429CA4">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1、协同采购人或项目承建方就变更有关的申请、评估、计划、实施方案和验证材料等进行书面记录并进行备案；</w:t>
            </w:r>
          </w:p>
          <w:p w14:paraId="7BAF0231">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2、组织和项目承建方对变更做必要的风险评估，包括对项目的计划、费用、效益、质量和进度等的影响；</w:t>
            </w:r>
          </w:p>
          <w:p w14:paraId="485119F4">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3、涉及合同变更的，纳入合同管理范围提供相应服务。</w:t>
            </w:r>
          </w:p>
        </w:tc>
        <w:tc>
          <w:tcPr>
            <w:tcW w:w="1454" w:type="dxa"/>
            <w:tcBorders>
              <w:top w:val="nil"/>
              <w:left w:val="nil"/>
              <w:bottom w:val="single" w:color="auto" w:sz="4" w:space="0"/>
              <w:right w:val="single" w:color="auto" w:sz="4" w:space="0"/>
            </w:tcBorders>
            <w:vAlign w:val="center"/>
          </w:tcPr>
          <w:p w14:paraId="62779E3E">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项目变更单（如有变更发生时）</w:t>
            </w:r>
          </w:p>
        </w:tc>
      </w:tr>
      <w:tr w14:paraId="0A969535">
        <w:tblPrEx>
          <w:tblCellMar>
            <w:top w:w="0" w:type="dxa"/>
            <w:left w:w="108" w:type="dxa"/>
            <w:bottom w:w="0" w:type="dxa"/>
            <w:right w:w="108" w:type="dxa"/>
          </w:tblCellMar>
        </w:tblPrEx>
        <w:trPr>
          <w:trHeight w:val="254" w:hRule="atLeast"/>
        </w:trPr>
        <w:tc>
          <w:tcPr>
            <w:tcW w:w="855" w:type="dxa"/>
            <w:tcBorders>
              <w:top w:val="nil"/>
              <w:left w:val="single" w:color="auto" w:sz="4" w:space="0"/>
              <w:bottom w:val="single" w:color="auto" w:sz="4" w:space="0"/>
              <w:right w:val="single" w:color="auto" w:sz="4" w:space="0"/>
            </w:tcBorders>
            <w:vAlign w:val="center"/>
          </w:tcPr>
          <w:p w14:paraId="49E56AB5">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930" w:type="dxa"/>
            <w:vMerge w:val="continue"/>
            <w:tcBorders>
              <w:top w:val="nil"/>
              <w:left w:val="single" w:color="auto" w:sz="4" w:space="0"/>
              <w:bottom w:val="single" w:color="auto" w:sz="4" w:space="0"/>
              <w:right w:val="single" w:color="auto" w:sz="4" w:space="0"/>
            </w:tcBorders>
            <w:vAlign w:val="center"/>
          </w:tcPr>
          <w:p w14:paraId="12BE30F2">
            <w:pPr>
              <w:rPr>
                <w:rFonts w:hint="eastAsia" w:ascii="仿宋_GB2312" w:hAnsi="仿宋_GB2312" w:eastAsia="仿宋_GB2312" w:cs="仿宋_GB2312"/>
                <w:sz w:val="24"/>
                <w:szCs w:val="24"/>
              </w:rPr>
            </w:pPr>
          </w:p>
        </w:tc>
        <w:tc>
          <w:tcPr>
            <w:tcW w:w="960" w:type="dxa"/>
            <w:tcBorders>
              <w:top w:val="nil"/>
              <w:left w:val="nil"/>
              <w:bottom w:val="single" w:color="auto" w:sz="4" w:space="0"/>
              <w:right w:val="single" w:color="auto" w:sz="4" w:space="0"/>
            </w:tcBorders>
            <w:vAlign w:val="center"/>
          </w:tcPr>
          <w:p w14:paraId="79934E0A">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信息管理</w:t>
            </w:r>
          </w:p>
        </w:tc>
        <w:tc>
          <w:tcPr>
            <w:tcW w:w="4635" w:type="dxa"/>
            <w:tcBorders>
              <w:top w:val="nil"/>
              <w:left w:val="nil"/>
              <w:bottom w:val="single" w:color="auto" w:sz="4" w:space="0"/>
              <w:right w:val="single" w:color="auto" w:sz="4" w:space="0"/>
            </w:tcBorders>
            <w:vAlign w:val="center"/>
          </w:tcPr>
          <w:p w14:paraId="7BF325EB">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项目全过程的信息文档进行管理，记录文档各种版本、版本变更、版本评审意见和版本变更的原因等。纳入文档管理服务的文档包括但不限于计划文档、需求分析文档、设计文档、评审纪要文档、重要会议记录、验收文档、资产信息备案和记录等。终验结束后，总结、整理项目有关的全部文档，并移交采购人。</w:t>
            </w:r>
          </w:p>
        </w:tc>
        <w:tc>
          <w:tcPr>
            <w:tcW w:w="1454" w:type="dxa"/>
            <w:tcBorders>
              <w:top w:val="nil"/>
              <w:left w:val="nil"/>
              <w:bottom w:val="single" w:color="auto" w:sz="4" w:space="0"/>
              <w:right w:val="single" w:color="auto" w:sz="4" w:space="0"/>
            </w:tcBorders>
            <w:vAlign w:val="center"/>
          </w:tcPr>
          <w:p w14:paraId="0AE0B646">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交付物变更记录（如有变更发生时）</w:t>
            </w:r>
          </w:p>
          <w:p w14:paraId="084964B4">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文档移交清单</w:t>
            </w:r>
          </w:p>
        </w:tc>
      </w:tr>
      <w:tr w14:paraId="5CCAFCEC">
        <w:tblPrEx>
          <w:tblCellMar>
            <w:top w:w="0" w:type="dxa"/>
            <w:left w:w="108" w:type="dxa"/>
            <w:bottom w:w="0" w:type="dxa"/>
            <w:right w:w="108" w:type="dxa"/>
          </w:tblCellMar>
        </w:tblPrEx>
        <w:trPr>
          <w:trHeight w:val="90" w:hRule="atLeast"/>
        </w:trPr>
        <w:tc>
          <w:tcPr>
            <w:tcW w:w="855" w:type="dxa"/>
            <w:tcBorders>
              <w:top w:val="nil"/>
              <w:left w:val="single" w:color="auto" w:sz="4" w:space="0"/>
              <w:bottom w:val="single" w:color="auto" w:sz="4" w:space="0"/>
              <w:right w:val="single" w:color="auto" w:sz="4" w:space="0"/>
            </w:tcBorders>
            <w:shd w:val="clear" w:color="auto" w:fill="FFFFFF"/>
            <w:vAlign w:val="center"/>
          </w:tcPr>
          <w:p w14:paraId="4491D847">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w:t>
            </w:r>
          </w:p>
        </w:tc>
        <w:tc>
          <w:tcPr>
            <w:tcW w:w="930" w:type="dxa"/>
            <w:vMerge w:val="restart"/>
            <w:tcBorders>
              <w:top w:val="nil"/>
              <w:left w:val="single" w:color="auto" w:sz="4" w:space="0"/>
              <w:bottom w:val="single" w:color="auto" w:sz="4" w:space="0"/>
              <w:right w:val="single" w:color="auto" w:sz="4" w:space="0"/>
            </w:tcBorders>
            <w:shd w:val="clear" w:color="auto" w:fill="FFFFFF"/>
            <w:vAlign w:val="center"/>
          </w:tcPr>
          <w:p w14:paraId="388D010E">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验收管理服务</w:t>
            </w:r>
          </w:p>
        </w:tc>
        <w:tc>
          <w:tcPr>
            <w:tcW w:w="960" w:type="dxa"/>
            <w:tcBorders>
              <w:top w:val="nil"/>
              <w:left w:val="nil"/>
              <w:bottom w:val="single" w:color="auto" w:sz="4" w:space="0"/>
              <w:right w:val="single" w:color="auto" w:sz="4" w:space="0"/>
            </w:tcBorders>
            <w:shd w:val="clear" w:color="auto" w:fill="FFFFFF"/>
            <w:vAlign w:val="center"/>
          </w:tcPr>
          <w:p w14:paraId="16671585">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项目初验服务</w:t>
            </w:r>
          </w:p>
        </w:tc>
        <w:tc>
          <w:tcPr>
            <w:tcW w:w="4635" w:type="dxa"/>
            <w:tcBorders>
              <w:top w:val="nil"/>
              <w:left w:val="nil"/>
              <w:bottom w:val="single" w:color="auto" w:sz="4" w:space="0"/>
              <w:right w:val="single" w:color="auto" w:sz="4" w:space="0"/>
            </w:tcBorders>
            <w:shd w:val="clear" w:color="auto" w:fill="FFFFFF"/>
            <w:vAlign w:val="center"/>
          </w:tcPr>
          <w:p w14:paraId="232C5811">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1、评审项目承建方交付的预验收测试方案，并搞好组织协调，检查验收测试的环境和资源的落实情况；</w:t>
            </w:r>
          </w:p>
          <w:p w14:paraId="3090225E">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2、检查项目承建方交付的文档和程序开发卷宗；</w:t>
            </w:r>
          </w:p>
          <w:p w14:paraId="10A7D9B2">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3、监督检查测试的有效性；</w:t>
            </w:r>
          </w:p>
          <w:p w14:paraId="0B3F2CEA">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4、对验收测试结果组织评估。</w:t>
            </w:r>
          </w:p>
        </w:tc>
        <w:tc>
          <w:tcPr>
            <w:tcW w:w="1454" w:type="dxa"/>
            <w:tcBorders>
              <w:top w:val="nil"/>
              <w:left w:val="nil"/>
              <w:bottom w:val="single" w:color="auto" w:sz="4" w:space="0"/>
              <w:right w:val="single" w:color="auto" w:sz="4" w:space="0"/>
            </w:tcBorders>
            <w:vAlign w:val="center"/>
          </w:tcPr>
          <w:p w14:paraId="31633464">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验收初审意见</w:t>
            </w:r>
          </w:p>
          <w:p w14:paraId="616CC6EA">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初步验收报告</w:t>
            </w:r>
          </w:p>
        </w:tc>
      </w:tr>
      <w:tr w14:paraId="1D80F847">
        <w:tblPrEx>
          <w:tblCellMar>
            <w:top w:w="0" w:type="dxa"/>
            <w:left w:w="108" w:type="dxa"/>
            <w:bottom w:w="0" w:type="dxa"/>
            <w:right w:w="108" w:type="dxa"/>
          </w:tblCellMar>
        </w:tblPrEx>
        <w:trPr>
          <w:trHeight w:val="789" w:hRule="atLeast"/>
        </w:trPr>
        <w:tc>
          <w:tcPr>
            <w:tcW w:w="855" w:type="dxa"/>
            <w:tcBorders>
              <w:top w:val="nil"/>
              <w:left w:val="single" w:color="auto" w:sz="4" w:space="0"/>
              <w:bottom w:val="single" w:color="auto" w:sz="4" w:space="0"/>
              <w:right w:val="single" w:color="auto" w:sz="4" w:space="0"/>
            </w:tcBorders>
            <w:shd w:val="clear" w:color="auto" w:fill="FFFFFF"/>
            <w:vAlign w:val="center"/>
          </w:tcPr>
          <w:p w14:paraId="4D50E519">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w:t>
            </w:r>
          </w:p>
        </w:tc>
        <w:tc>
          <w:tcPr>
            <w:tcW w:w="930" w:type="dxa"/>
            <w:vMerge w:val="continue"/>
            <w:tcBorders>
              <w:top w:val="nil"/>
              <w:left w:val="single" w:color="auto" w:sz="4" w:space="0"/>
              <w:bottom w:val="single" w:color="auto" w:sz="4" w:space="0"/>
              <w:right w:val="single" w:color="auto" w:sz="4" w:space="0"/>
            </w:tcBorders>
            <w:shd w:val="clear" w:color="auto" w:fill="auto"/>
            <w:vAlign w:val="center"/>
          </w:tcPr>
          <w:p w14:paraId="3EF3623C">
            <w:pPr>
              <w:rPr>
                <w:rFonts w:hint="eastAsia" w:ascii="仿宋_GB2312" w:hAnsi="仿宋_GB2312" w:eastAsia="仿宋_GB2312" w:cs="仿宋_GB2312"/>
                <w:sz w:val="24"/>
                <w:szCs w:val="24"/>
              </w:rPr>
            </w:pPr>
          </w:p>
        </w:tc>
        <w:tc>
          <w:tcPr>
            <w:tcW w:w="960" w:type="dxa"/>
            <w:tcBorders>
              <w:top w:val="nil"/>
              <w:left w:val="nil"/>
              <w:bottom w:val="single" w:color="auto" w:sz="4" w:space="0"/>
              <w:right w:val="single" w:color="auto" w:sz="4" w:space="0"/>
            </w:tcBorders>
            <w:shd w:val="clear" w:color="auto" w:fill="FFFFFF"/>
            <w:vAlign w:val="center"/>
          </w:tcPr>
          <w:p w14:paraId="15212650">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试运行监控服务</w:t>
            </w:r>
          </w:p>
        </w:tc>
        <w:tc>
          <w:tcPr>
            <w:tcW w:w="4635" w:type="dxa"/>
            <w:tcBorders>
              <w:top w:val="nil"/>
              <w:left w:val="nil"/>
              <w:bottom w:val="single" w:color="auto" w:sz="4" w:space="0"/>
              <w:right w:val="single" w:color="auto" w:sz="4" w:space="0"/>
            </w:tcBorders>
            <w:shd w:val="clear" w:color="auto" w:fill="FFFFFF"/>
            <w:vAlign w:val="center"/>
          </w:tcPr>
          <w:p w14:paraId="662A34DF">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1、督促项目承建方提交详细可实施的系统试运行计划；</w:t>
            </w:r>
          </w:p>
          <w:p w14:paraId="066B20F6">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2、协助采购人监督项目承建方的系统安装活动，观察系统运行情况，记录系统安装和运行时的结果情况；</w:t>
            </w:r>
          </w:p>
          <w:p w14:paraId="5DFA87A0">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3、检测验证系统功能、性能与合同的符合性；</w:t>
            </w:r>
          </w:p>
          <w:p w14:paraId="3F7B4F87">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4、监督系统网站运营维护情况，监督平台宣传推广工作执行情况；</w:t>
            </w:r>
          </w:p>
          <w:p w14:paraId="029394EE">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5、如果试运行期间发现的问题和不合格项，形成监理意见，协助采购人审核项目承建方提交的整改方案，并监督落实。</w:t>
            </w:r>
          </w:p>
        </w:tc>
        <w:tc>
          <w:tcPr>
            <w:tcW w:w="1454" w:type="dxa"/>
            <w:tcBorders>
              <w:top w:val="nil"/>
              <w:left w:val="nil"/>
              <w:bottom w:val="single" w:color="auto" w:sz="4" w:space="0"/>
              <w:right w:val="single" w:color="auto" w:sz="4" w:space="0"/>
            </w:tcBorders>
            <w:vAlign w:val="center"/>
          </w:tcPr>
          <w:p w14:paraId="3BF3E837">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试运行方案评审意见试运行跟踪表</w:t>
            </w:r>
          </w:p>
          <w:p w14:paraId="16C2CCAD">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试运行报告确认单</w:t>
            </w:r>
          </w:p>
        </w:tc>
      </w:tr>
      <w:tr w14:paraId="1C8C05EB">
        <w:tblPrEx>
          <w:tblCellMar>
            <w:top w:w="0" w:type="dxa"/>
            <w:left w:w="108" w:type="dxa"/>
            <w:bottom w:w="0" w:type="dxa"/>
            <w:right w:w="108" w:type="dxa"/>
          </w:tblCellMar>
        </w:tblPrEx>
        <w:trPr>
          <w:trHeight w:val="733" w:hRule="atLeast"/>
        </w:trPr>
        <w:tc>
          <w:tcPr>
            <w:tcW w:w="855" w:type="dxa"/>
            <w:tcBorders>
              <w:top w:val="nil"/>
              <w:left w:val="single" w:color="auto" w:sz="4" w:space="0"/>
              <w:bottom w:val="single" w:color="auto" w:sz="4" w:space="0"/>
              <w:right w:val="single" w:color="auto" w:sz="4" w:space="0"/>
            </w:tcBorders>
            <w:shd w:val="clear" w:color="auto" w:fill="FFFFFF"/>
            <w:vAlign w:val="center"/>
          </w:tcPr>
          <w:p w14:paraId="07092F01">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w:t>
            </w:r>
          </w:p>
        </w:tc>
        <w:tc>
          <w:tcPr>
            <w:tcW w:w="930" w:type="dxa"/>
            <w:vMerge w:val="continue"/>
            <w:tcBorders>
              <w:top w:val="nil"/>
              <w:left w:val="single" w:color="auto" w:sz="4" w:space="0"/>
              <w:bottom w:val="single" w:color="auto" w:sz="4" w:space="0"/>
              <w:right w:val="single" w:color="auto" w:sz="4" w:space="0"/>
            </w:tcBorders>
            <w:shd w:val="clear" w:color="auto" w:fill="auto"/>
            <w:vAlign w:val="center"/>
          </w:tcPr>
          <w:p w14:paraId="2A7057D3">
            <w:pPr>
              <w:rPr>
                <w:rFonts w:hint="eastAsia" w:ascii="仿宋_GB2312" w:hAnsi="仿宋_GB2312" w:eastAsia="仿宋_GB2312" w:cs="仿宋_GB2312"/>
                <w:sz w:val="24"/>
                <w:szCs w:val="24"/>
              </w:rPr>
            </w:pPr>
          </w:p>
        </w:tc>
        <w:tc>
          <w:tcPr>
            <w:tcW w:w="960" w:type="dxa"/>
            <w:tcBorders>
              <w:top w:val="nil"/>
              <w:left w:val="nil"/>
              <w:bottom w:val="single" w:color="auto" w:sz="4" w:space="0"/>
              <w:right w:val="single" w:color="auto" w:sz="4" w:space="0"/>
            </w:tcBorders>
            <w:shd w:val="clear" w:color="auto" w:fill="FFFFFF"/>
            <w:vAlign w:val="center"/>
          </w:tcPr>
          <w:p w14:paraId="3B293D32">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项目终验服务</w:t>
            </w:r>
          </w:p>
        </w:tc>
        <w:tc>
          <w:tcPr>
            <w:tcW w:w="4635" w:type="dxa"/>
            <w:tcBorders>
              <w:top w:val="nil"/>
              <w:left w:val="nil"/>
              <w:bottom w:val="single" w:color="auto" w:sz="4" w:space="0"/>
              <w:right w:val="single" w:color="auto" w:sz="4" w:space="0"/>
            </w:tcBorders>
            <w:shd w:val="clear" w:color="auto" w:fill="FFFFFF"/>
            <w:vAlign w:val="center"/>
          </w:tcPr>
          <w:p w14:paraId="2CC36515">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1、协助采购人结合合同及内控制度要求制定验收流程、标准。</w:t>
            </w:r>
          </w:p>
          <w:p w14:paraId="03990B54">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2、审核项目承建方提交的终验申请，并核验项目是否满足终验条件。</w:t>
            </w:r>
          </w:p>
          <w:p w14:paraId="5B645530">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3、要求项目承建方提交终验方案，并审核终验方案。</w:t>
            </w:r>
          </w:p>
          <w:p w14:paraId="32D5954E">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4、协助采购人邀请验收专家，协调终验评审会的召开。</w:t>
            </w:r>
          </w:p>
          <w:p w14:paraId="33F0C457">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5、参与终验，汇总备案验收活动结果形成的文档，督促供应商解决终验中发现的问题和不合格项，最终签署终验报告。</w:t>
            </w:r>
          </w:p>
        </w:tc>
        <w:tc>
          <w:tcPr>
            <w:tcW w:w="1454" w:type="dxa"/>
            <w:tcBorders>
              <w:top w:val="nil"/>
              <w:left w:val="nil"/>
              <w:bottom w:val="single" w:color="auto" w:sz="4" w:space="0"/>
              <w:right w:val="single" w:color="auto" w:sz="4" w:space="0"/>
            </w:tcBorders>
            <w:vAlign w:val="center"/>
          </w:tcPr>
          <w:p w14:paraId="40CD527B">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验收专家评审意见确认单</w:t>
            </w:r>
          </w:p>
          <w:p w14:paraId="4EBC3353">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项目验收报告</w:t>
            </w:r>
          </w:p>
        </w:tc>
      </w:tr>
    </w:tbl>
    <w:p w14:paraId="35D20641">
      <w:pPr>
        <w:pStyle w:val="2"/>
        <w:numPr>
          <w:ilvl w:val="255"/>
          <w:numId w:val="0"/>
        </w:numPr>
        <w:spacing w:before="0" w:after="0"/>
        <w:ind w:left="420" w:firstLine="0"/>
        <w:rPr>
          <w:rFonts w:hint="eastAsia" w:ascii="仿宋_GB2312" w:hAnsi="仿宋_GB2312" w:eastAsia="仿宋_GB2312" w:cs="仿宋_GB2312"/>
          <w:sz w:val="24"/>
          <w:szCs w:val="24"/>
        </w:rPr>
      </w:pPr>
      <w:bookmarkStart w:id="11" w:name="_Toc88818246"/>
      <w:bookmarkStart w:id="12" w:name="_Toc21215"/>
      <w:bookmarkStart w:id="13" w:name="_Toc27260"/>
      <w:r>
        <w:rPr>
          <w:rFonts w:hint="eastAsia" w:ascii="仿宋_GB2312" w:hAnsi="仿宋_GB2312" w:eastAsia="仿宋_GB2312" w:cs="仿宋_GB2312"/>
          <w:sz w:val="24"/>
          <w:szCs w:val="24"/>
        </w:rPr>
        <w:t>七、监理团队要求</w:t>
      </w:r>
      <w:bookmarkEnd w:id="11"/>
      <w:bookmarkEnd w:id="12"/>
      <w:bookmarkEnd w:id="13"/>
    </w:p>
    <w:p w14:paraId="138BF131">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1、监理机构</w:t>
      </w:r>
    </w:p>
    <w:p w14:paraId="54FC5BE7">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监理单位在执行监理合同时建立工程项目监理机构，在完成合同约定的监理任务后方可解散。监理机构应严格按照合同履行监理责任，配备满足监理工作需要的设备和工具，应妥善使用采购人所提供的设施。</w:t>
      </w:r>
    </w:p>
    <w:p w14:paraId="71938CA7">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监理机构应遵守相应的监理工作制度，包括会议制度、监理文件制度、监理记录制度、工作报告制度等，保证监理工作协调有序的进行。</w:t>
      </w:r>
    </w:p>
    <w:p w14:paraId="118020C6">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2、监理人员</w:t>
      </w:r>
    </w:p>
    <w:p w14:paraId="4F2DD58E">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（1）监理人员数量</w:t>
      </w:r>
    </w:p>
    <w:p w14:paraId="01BEEB6B">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本项目要求以现场监理为主要方式进行，监理项目组应是至少包含1名总监理工程师、1名技术咨询专家，1名总监理工程师代表，1监理员共计不少于4人的稳定团队.其中，总监理工程师负责按照本项目的有关内容提供各类监理服务，包括必要的组织与协调工作，主要监理人员必须具备所从事监理业务的专业技术和类似项目经验，并具有丰富的项目管理经验。上述人员应当具有1年以上从事信息化监理工作经历。</w:t>
      </w:r>
    </w:p>
    <w:p w14:paraId="6AF6E136">
      <w:pPr>
        <w:pStyle w:val="2"/>
        <w:numPr>
          <w:ilvl w:val="255"/>
          <w:numId w:val="0"/>
        </w:numPr>
        <w:spacing w:before="0" w:after="0"/>
        <w:ind w:left="420" w:firstLine="0"/>
        <w:rPr>
          <w:rFonts w:hint="eastAsia" w:ascii="仿宋_GB2312" w:hAnsi="仿宋_GB2312" w:eastAsia="仿宋_GB2312" w:cs="仿宋_GB2312"/>
          <w:sz w:val="24"/>
          <w:szCs w:val="24"/>
          <w:lang w:val="zh-CN"/>
        </w:rPr>
      </w:pPr>
      <w:r>
        <w:rPr>
          <w:rFonts w:hint="eastAsia" w:ascii="仿宋_GB2312" w:hAnsi="仿宋_GB2312" w:eastAsia="仿宋_GB2312" w:cs="仿宋_GB2312"/>
          <w:sz w:val="24"/>
          <w:szCs w:val="24"/>
          <w:lang w:val="zh-CN"/>
        </w:rPr>
        <w:t>八、商务要求</w:t>
      </w:r>
    </w:p>
    <w:p w14:paraId="68927920">
      <w:pPr>
        <w:spacing w:line="360" w:lineRule="auto"/>
        <w:ind w:firstLine="480" w:firstLineChars="200"/>
        <w:rPr>
          <w:rFonts w:hint="eastAsia" w:ascii="仿宋_GB2312" w:hAnsi="仿宋_GB2312" w:eastAsia="仿宋_GB2312" w:cs="仿宋_GB2312"/>
          <w:sz w:val="24"/>
          <w:szCs w:val="24"/>
        </w:rPr>
      </w:pPr>
      <w:bookmarkStart w:id="14" w:name="_Toc42805185"/>
      <w:bookmarkStart w:id="15" w:name="_Toc29746248"/>
      <w:bookmarkStart w:id="16" w:name="_Toc88818248"/>
      <w:r>
        <w:rPr>
          <w:rFonts w:hint="eastAsia" w:ascii="仿宋_GB2312" w:hAnsi="仿宋_GB2312" w:eastAsia="仿宋_GB2312" w:cs="仿宋_GB2312"/>
          <w:sz w:val="24"/>
          <w:szCs w:val="24"/>
        </w:rPr>
        <w:t>1、</w:t>
      </w:r>
      <w:bookmarkEnd w:id="14"/>
      <w:bookmarkEnd w:id="15"/>
      <w:r>
        <w:rPr>
          <w:rFonts w:hint="eastAsia" w:ascii="仿宋_GB2312" w:hAnsi="仿宋_GB2312" w:eastAsia="仿宋_GB2312" w:cs="仿宋_GB2312"/>
          <w:sz w:val="24"/>
          <w:szCs w:val="24"/>
        </w:rPr>
        <w:t>服务时间、服务地点及验收方式</w:t>
      </w:r>
      <w:bookmarkEnd w:id="16"/>
    </w:p>
    <w:p w14:paraId="00A2236A">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1.1.服务时间：预计总工期大约 13个月，实际服务期自项目建设实施到项目竣工验收合格为止，包括项目实施阶段、初验阶段、竣工验收阶段。</w:t>
      </w:r>
    </w:p>
    <w:p w14:paraId="55628307">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1.2.服务地点：采购人指定地点。</w:t>
      </w:r>
    </w:p>
    <w:p w14:paraId="1BF7E54D">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1.3.验收方式：通过采购人组织的竣工验收。</w:t>
      </w:r>
    </w:p>
    <w:p w14:paraId="6F4CDDF6">
      <w:pPr>
        <w:spacing w:line="360" w:lineRule="auto"/>
        <w:ind w:firstLine="480" w:firstLineChars="200"/>
        <w:rPr>
          <w:rFonts w:hint="eastAsia" w:ascii="仿宋_GB2312" w:hAnsi="仿宋_GB2312" w:eastAsia="仿宋_GB2312" w:cs="仿宋_GB2312"/>
          <w:sz w:val="24"/>
          <w:szCs w:val="24"/>
        </w:rPr>
      </w:pPr>
      <w:bookmarkStart w:id="17" w:name="_Toc42805186"/>
      <w:bookmarkStart w:id="18" w:name="_Toc29746249"/>
      <w:bookmarkStart w:id="19" w:name="_Toc88818249"/>
      <w:r>
        <w:rPr>
          <w:rFonts w:hint="eastAsia" w:ascii="仿宋_GB2312" w:hAnsi="仿宋_GB2312" w:eastAsia="仿宋_GB2312" w:cs="仿宋_GB2312"/>
          <w:sz w:val="24"/>
          <w:szCs w:val="24"/>
        </w:rPr>
        <w:t>2、报价要求</w:t>
      </w:r>
      <w:bookmarkEnd w:id="17"/>
      <w:bookmarkEnd w:id="18"/>
      <w:bookmarkEnd w:id="19"/>
    </w:p>
    <w:p w14:paraId="631AE6FD">
      <w:pPr>
        <w:spacing w:line="360" w:lineRule="auto"/>
        <w:ind w:firstLine="480" w:firstLineChars="200"/>
        <w:rPr>
          <w:rFonts w:hint="eastAsia" w:ascii="仿宋_GB2312" w:hAnsi="仿宋_GB2312" w:eastAsia="仿宋_GB2312" w:cs="仿宋_GB2312"/>
          <w:sz w:val="24"/>
          <w:szCs w:val="24"/>
        </w:rPr>
      </w:pPr>
      <w:bookmarkStart w:id="20" w:name="_Toc77783942"/>
      <w:bookmarkStart w:id="21" w:name="_Toc11685"/>
      <w:bookmarkStart w:id="22" w:name="_Toc43806515"/>
      <w:bookmarkStart w:id="23" w:name="_Toc376184484"/>
      <w:bookmarkStart w:id="24" w:name="_Toc42805187"/>
      <w:bookmarkStart w:id="25" w:name="_Toc29746250"/>
      <w:r>
        <w:rPr>
          <w:rFonts w:hint="eastAsia" w:ascii="仿宋_GB2312" w:hAnsi="仿宋_GB2312" w:eastAsia="仿宋_GB2312" w:cs="仿宋_GB2312"/>
          <w:sz w:val="24"/>
          <w:szCs w:val="24"/>
        </w:rPr>
        <w:t>本次报价须为人民币报价，响应报价为供应商对采购文件所确定的全部工作内容包干价，包含完成本项目所需的材料费、人工费、运输费、保险费、管理费、各种应缴税费等一切可预见和不可预见的、合同明示或暗示的应由供应商承担的一切责任、义务和风险等所有费用。因供应商自身原因造成漏报、少报皆由其自行承担责任，采购人不再补偿。</w:t>
      </w:r>
      <w:bookmarkEnd w:id="20"/>
      <w:bookmarkEnd w:id="21"/>
      <w:bookmarkEnd w:id="22"/>
      <w:bookmarkEnd w:id="23"/>
    </w:p>
    <w:p w14:paraId="7EEA6F65">
      <w:pPr>
        <w:spacing w:line="360" w:lineRule="auto"/>
        <w:ind w:firstLine="480" w:firstLineChars="200"/>
        <w:rPr>
          <w:rFonts w:hint="eastAsia" w:ascii="仿宋_GB2312" w:hAnsi="仿宋_GB2312" w:eastAsia="仿宋_GB2312" w:cs="仿宋_GB2312"/>
          <w:sz w:val="24"/>
          <w:szCs w:val="24"/>
        </w:rPr>
      </w:pPr>
      <w:bookmarkStart w:id="26" w:name="_Toc344475122"/>
      <w:bookmarkStart w:id="27" w:name="_Toc88818250"/>
      <w:r>
        <w:rPr>
          <w:rFonts w:hint="eastAsia" w:ascii="仿宋_GB2312" w:hAnsi="仿宋_GB2312" w:eastAsia="仿宋_GB2312" w:cs="仿宋_GB2312"/>
          <w:sz w:val="24"/>
          <w:szCs w:val="24"/>
        </w:rPr>
        <w:t>3、付款方式</w:t>
      </w:r>
      <w:bookmarkEnd w:id="26"/>
      <w:bookmarkEnd w:id="27"/>
    </w:p>
    <w:p w14:paraId="3FDC06E8">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3.1.监理合同签订之日起30个工作日内，监理方人员安排到位，通过采购人认可，正式启动项目监理工作。在监理人员提交《监理规划》、《监理实施细则》、《开工申请》、《开工令》等开工阶段相应文件后，采购人向成交供应商支付合同金额</w:t>
      </w:r>
      <w:commentRangeStart w:id="0"/>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0%</w:t>
      </w:r>
      <w:commentRangeEnd w:id="0"/>
      <w:r>
        <w:rPr>
          <w:rStyle w:val="10"/>
        </w:rPr>
        <w:commentReference w:id="0"/>
      </w:r>
      <w:r>
        <w:rPr>
          <w:rFonts w:hint="eastAsia" w:ascii="仿宋_GB2312" w:hAnsi="仿宋_GB2312" w:eastAsia="仿宋_GB2312" w:cs="仿宋_GB2312"/>
          <w:sz w:val="24"/>
          <w:szCs w:val="24"/>
        </w:rPr>
        <w:t>，付款前成交供应商应先向采购人开具等额发票；</w:t>
      </w:r>
    </w:p>
    <w:p w14:paraId="55D0A7A3">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3.2.工程完工后，成交人提供该项目的规范《监理资料》（含开工阶段和施工阶段，包括但不限于《监理报告》等整套资料），并组织监督施工方整理制作相应的《施工资料》，并且监理项目的全部分项均通过初步验收后，采购人向成交供应商支付合同</w:t>
      </w:r>
      <w:commentRangeStart w:id="1"/>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0%</w:t>
      </w:r>
      <w:commentRangeEnd w:id="1"/>
      <w:r>
        <w:rPr>
          <w:rStyle w:val="10"/>
        </w:rPr>
        <w:commentReference w:id="1"/>
      </w:r>
      <w:r>
        <w:rPr>
          <w:rFonts w:hint="eastAsia" w:ascii="仿宋_GB2312" w:hAnsi="仿宋_GB2312" w:eastAsia="仿宋_GB2312" w:cs="仿宋_GB2312"/>
          <w:sz w:val="24"/>
          <w:szCs w:val="24"/>
        </w:rPr>
        <w:t>金额，付款前成交供应商应先向采购人开具等额发票；</w:t>
      </w:r>
    </w:p>
    <w:p w14:paraId="3ACDDAD4">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3.3.监理项目建设完工并通过最终竣工验收，成交人提供项目完整规范《监理资料》（含开工阶段、施工阶段、试运行阶段，包括但不限于《试运行问题报告》等）后，采购人向成交供应商支付合同总价款的</w:t>
      </w:r>
      <w:commentRangeStart w:id="2"/>
      <w:r>
        <w:rPr>
          <w:rFonts w:hint="eastAsia" w:ascii="仿宋_GB2312" w:hAnsi="仿宋_GB2312" w:eastAsia="仿宋_GB2312" w:cs="仿宋_GB2312"/>
          <w:sz w:val="24"/>
          <w:szCs w:val="24"/>
          <w:lang w:val="en-US" w:eastAsia="zh-CN"/>
        </w:rPr>
        <w:t>4</w:t>
      </w:r>
      <w:r>
        <w:rPr>
          <w:rFonts w:hint="eastAsia" w:ascii="仿宋_GB2312" w:hAnsi="仿宋_GB2312" w:eastAsia="仿宋_GB2312" w:cs="仿宋_GB2312"/>
          <w:sz w:val="24"/>
          <w:szCs w:val="24"/>
        </w:rPr>
        <w:t>0%</w:t>
      </w:r>
      <w:commentRangeEnd w:id="2"/>
      <w:r>
        <w:rPr>
          <w:rStyle w:val="10"/>
        </w:rPr>
        <w:commentReference w:id="2"/>
      </w:r>
      <w:r>
        <w:rPr>
          <w:rFonts w:hint="eastAsia" w:ascii="仿宋_GB2312" w:hAnsi="仿宋_GB2312" w:eastAsia="仿宋_GB2312" w:cs="仿宋_GB2312"/>
          <w:sz w:val="24"/>
          <w:szCs w:val="24"/>
        </w:rPr>
        <w:t>，付款前成交供应商应先向采购人开具等额发票。</w:t>
      </w:r>
      <w:bookmarkEnd w:id="24"/>
      <w:bookmarkEnd w:id="25"/>
    </w:p>
    <w:p w14:paraId="3FCA8DCA">
      <w:pPr>
        <w:spacing w:line="360" w:lineRule="auto"/>
        <w:ind w:firstLine="480" w:firstLineChars="200"/>
        <w:rPr>
          <w:rFonts w:hint="eastAsia" w:ascii="仿宋_GB2312" w:hAnsi="仿宋_GB2312" w:eastAsia="仿宋_GB2312" w:cs="仿宋_GB2312"/>
          <w:sz w:val="24"/>
          <w:szCs w:val="24"/>
        </w:rPr>
      </w:pPr>
      <w:bookmarkStart w:id="28" w:name="_Toc29746251"/>
      <w:bookmarkStart w:id="29" w:name="_Toc42805188"/>
      <w:bookmarkStart w:id="30" w:name="_Toc88818251"/>
      <w:r>
        <w:rPr>
          <w:rFonts w:hint="eastAsia" w:ascii="仿宋_GB2312" w:hAnsi="仿宋_GB2312" w:eastAsia="仿宋_GB2312" w:cs="仿宋_GB2312"/>
          <w:sz w:val="24"/>
          <w:szCs w:val="24"/>
        </w:rPr>
        <w:t>4、知识产权</w:t>
      </w:r>
      <w:bookmarkEnd w:id="28"/>
      <w:bookmarkEnd w:id="29"/>
      <w:bookmarkEnd w:id="30"/>
    </w:p>
    <w:p w14:paraId="7CB669CF">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采购人在中华人民共和国境内使用成交供应商提供的货物及服务时免受第三方提出的侵犯其专利权或其它知识产权的起诉。如果第三方提出侵权指控，成交供应商应承担由此而引起的一切法律责任和费用。</w:t>
      </w:r>
      <w:bookmarkStart w:id="31" w:name="_Toc29746252"/>
    </w:p>
    <w:p w14:paraId="1EA2C2EE">
      <w:pPr>
        <w:spacing w:line="360" w:lineRule="auto"/>
        <w:ind w:firstLine="480" w:firstLineChars="200"/>
        <w:rPr>
          <w:rFonts w:hint="eastAsia" w:ascii="仿宋_GB2312" w:hAnsi="仿宋_GB2312" w:eastAsia="仿宋_GB2312" w:cs="仿宋_GB2312"/>
          <w:sz w:val="24"/>
          <w:szCs w:val="24"/>
        </w:rPr>
      </w:pPr>
      <w:bookmarkStart w:id="32" w:name="_Toc88818252"/>
      <w:bookmarkStart w:id="33" w:name="_Toc42805190"/>
      <w:r>
        <w:rPr>
          <w:rFonts w:hint="eastAsia" w:ascii="仿宋_GB2312" w:hAnsi="仿宋_GB2312" w:eastAsia="仿宋_GB2312" w:cs="仿宋_GB2312"/>
          <w:sz w:val="24"/>
          <w:szCs w:val="24"/>
        </w:rPr>
        <w:t>5、其他</w:t>
      </w:r>
      <w:bookmarkEnd w:id="31"/>
      <w:bookmarkEnd w:id="32"/>
      <w:bookmarkEnd w:id="33"/>
    </w:p>
    <w:p w14:paraId="3B5489CC">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5.1．成交供应商应与采购人签订保密协议，实施团队应与采购人签订保密承诺书。</w:t>
      </w:r>
    </w:p>
    <w:p w14:paraId="7B46BF25">
      <w:pPr>
        <w:spacing w:line="360" w:lineRule="auto"/>
        <w:ind w:firstLine="480" w:firstLineChars="20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5.2．其他未尽事宜由供需双方在采购合同中详细约定。</w:t>
      </w:r>
    </w:p>
    <w:p w14:paraId="4679A8AD"/>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uf2008 Z" w:date="2025-07-25T10:27:00Z" w:initials="">
    <w:p w14:paraId="7B94AF93">
      <w:pPr>
        <w:pStyle w:val="3"/>
        <w:rPr>
          <w:rFonts w:hint="eastAsia"/>
        </w:rPr>
      </w:pPr>
      <w:r>
        <w:rPr>
          <w:rFonts w:hint="eastAsia"/>
        </w:rPr>
        <w:t>50%</w:t>
      </w:r>
    </w:p>
  </w:comment>
  <w:comment w:id="1" w:author="uf2008 Z" w:date="2025-07-25T10:35:00Z" w:initials="">
    <w:p w14:paraId="3A8CE254">
      <w:pPr>
        <w:pStyle w:val="3"/>
        <w:rPr>
          <w:rFonts w:hint="eastAsia"/>
        </w:rPr>
      </w:pPr>
      <w:r>
        <w:rPr>
          <w:rFonts w:hint="eastAsia"/>
        </w:rPr>
        <w:t>40%</w:t>
      </w:r>
    </w:p>
  </w:comment>
  <w:comment w:id="2" w:author="uf2008 Z" w:date="2025-07-25T10:28:00Z" w:initials="">
    <w:p w14:paraId="4E5EF46A">
      <w:pPr>
        <w:pStyle w:val="3"/>
        <w:rPr>
          <w:rFonts w:hint="eastAsia"/>
        </w:rPr>
      </w:pPr>
      <w:r>
        <w:rPr>
          <w:rFonts w:hint="eastAsia"/>
        </w:rPr>
        <w:t>10%</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B94AF93" w15:done="0"/>
  <w15:commentEx w15:paraId="3A8CE254" w15:done="0"/>
  <w15:commentEx w15:paraId="4E5EF46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39996D"/>
    <w:multiLevelType w:val="multilevel"/>
    <w:tmpl w:val="9A39996D"/>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2"/>
      <w:suff w:val="nothing"/>
      <w:lvlText w:val="（%4）"/>
      <w:lvlJc w:val="left"/>
      <w:pPr>
        <w:ind w:left="39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f2008 Z">
    <w15:presenceInfo w15:providerId="Windows Live" w15:userId="e408f901d86679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Q3N2ZhY2FiNzI5MjQ0YWViYzI4ZjY3M2ZmZGUzOTcifQ=="/>
  </w:docVars>
  <w:rsids>
    <w:rsidRoot w:val="28BA46BE"/>
    <w:rsid w:val="00185C55"/>
    <w:rsid w:val="00570B64"/>
    <w:rsid w:val="00697C68"/>
    <w:rsid w:val="007162B9"/>
    <w:rsid w:val="008D7263"/>
    <w:rsid w:val="00955D81"/>
    <w:rsid w:val="009F7DC6"/>
    <w:rsid w:val="00BF57D9"/>
    <w:rsid w:val="02A74484"/>
    <w:rsid w:val="0F71132C"/>
    <w:rsid w:val="28BA46BE"/>
    <w:rsid w:val="2D1E7C7D"/>
    <w:rsid w:val="2E8E07AC"/>
    <w:rsid w:val="30FF5C05"/>
    <w:rsid w:val="396E5D5E"/>
    <w:rsid w:val="682F2D7B"/>
    <w:rsid w:val="6A0E36C1"/>
    <w:rsid w:val="7C3414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paragraph" w:styleId="2">
    <w:name w:val="heading 4"/>
    <w:basedOn w:val="1"/>
    <w:next w:val="1"/>
    <w:qFormat/>
    <w:uiPriority w:val="0"/>
    <w:pPr>
      <w:keepNext/>
      <w:keepLines/>
      <w:numPr>
        <w:ilvl w:val="3"/>
        <w:numId w:val="1"/>
      </w:numPr>
      <w:spacing w:before="280" w:after="290" w:line="360" w:lineRule="auto"/>
      <w:outlineLvl w:val="3"/>
    </w:pPr>
    <w:rPr>
      <w:rFonts w:ascii="Arial" w:hAnsi="Arial" w:eastAsia="微软雅黑" w:cs="Times New Roman"/>
      <w:b/>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3"/>
    <w:uiPriority w:val="0"/>
    <w:pPr>
      <w:jc w:val="left"/>
    </w:pPr>
  </w:style>
  <w:style w:type="paragraph" w:styleId="4">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5">
    <w:name w:val="annotation subject"/>
    <w:basedOn w:val="3"/>
    <w:next w:val="3"/>
    <w:link w:val="14"/>
    <w:qFormat/>
    <w:uiPriority w:val="0"/>
    <w:rPr>
      <w:b/>
      <w:bCs/>
    </w:rPr>
  </w:style>
  <w:style w:type="table" w:styleId="7">
    <w:name w:val="Table Grid"/>
    <w:basedOn w:val="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99"/>
    <w:rPr>
      <w:color w:val="2687D0"/>
      <w:u w:val="single"/>
    </w:rPr>
  </w:style>
  <w:style w:type="character" w:styleId="10">
    <w:name w:val="annotation reference"/>
    <w:basedOn w:val="8"/>
    <w:qFormat/>
    <w:uiPriority w:val="0"/>
    <w:rPr>
      <w:sz w:val="21"/>
      <w:szCs w:val="21"/>
    </w:rPr>
  </w:style>
  <w:style w:type="character" w:customStyle="1" w:styleId="11">
    <w:name w:val="font21"/>
    <w:basedOn w:val="8"/>
    <w:qFormat/>
    <w:uiPriority w:val="0"/>
    <w:rPr>
      <w:rFonts w:hint="eastAsia" w:ascii="宋体" w:hAnsi="宋体" w:eastAsia="宋体" w:cs="宋体"/>
      <w:color w:val="000000"/>
      <w:sz w:val="22"/>
      <w:szCs w:val="22"/>
      <w:u w:val="none"/>
    </w:rPr>
  </w:style>
  <w:style w:type="paragraph" w:customStyle="1" w:styleId="12">
    <w:name w:val="Revision"/>
    <w:hidden/>
    <w:unhideWhenUsed/>
    <w:qFormat/>
    <w:uiPriority w:val="99"/>
    <w:rPr>
      <w:rFonts w:ascii="Calibri" w:hAnsi="Calibri" w:eastAsia="宋体" w:cs="宋体"/>
      <w:kern w:val="2"/>
      <w:sz w:val="21"/>
      <w:szCs w:val="22"/>
      <w:lang w:val="en-US" w:eastAsia="zh-CN" w:bidi="ar-SA"/>
    </w:rPr>
  </w:style>
  <w:style w:type="character" w:customStyle="1" w:styleId="13">
    <w:name w:val="批注文字 字符"/>
    <w:basedOn w:val="8"/>
    <w:link w:val="3"/>
    <w:qFormat/>
    <w:uiPriority w:val="0"/>
    <w:rPr>
      <w:rFonts w:ascii="Calibri" w:hAnsi="Calibri" w:cs="宋体"/>
      <w:kern w:val="2"/>
      <w:sz w:val="21"/>
      <w:szCs w:val="22"/>
    </w:rPr>
  </w:style>
  <w:style w:type="character" w:customStyle="1" w:styleId="14">
    <w:name w:val="批注主题 字符"/>
    <w:basedOn w:val="13"/>
    <w:link w:val="5"/>
    <w:qFormat/>
    <w:uiPriority w:val="0"/>
    <w:rPr>
      <w:rFonts w:ascii="Calibri" w:hAnsi="Calibri" w:cs="宋体"/>
      <w:b/>
      <w:bCs/>
      <w:kern w:val="2"/>
      <w:sz w:val="21"/>
      <w:szCs w:val="22"/>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5412</Words>
  <Characters>5512</Characters>
  <Lines>40</Lines>
  <Paragraphs>11</Paragraphs>
  <TotalTime>82</TotalTime>
  <ScaleCrop>false</ScaleCrop>
  <LinksUpToDate>false</LinksUpToDate>
  <CharactersWithSpaces>5514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2023-02-16T03:17:00Z</dcterms:created>
  <dc:creator>chenjian0424</dc:creator>
  <cp:lastModifiedBy>Administrator</cp:lastModifiedBy>
  <dcterms:modified xsi:type="dcterms:W3CDTF">2025-07-31T03:28:31Z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450ED5AEF98C480398454BFE0F28E17B_13</vt:lpwstr>
  </property>
  <property fmtid="{D5CDD505-2E9C-101B-9397-08002B2CF9AE}" pid="4" name="KSOTemplateDocerSaveRecord">
    <vt:lpwstr>eyJoZGlkIjoiY2YwZjA5NDJkMzc3ZmRhM2YyZGIxYjQyYzQzMDg1OGIifQ==</vt:lpwstr>
  </property>
</Properties>
</file>