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　　一、项目名称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城管局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2022年人行道及附属设施维修维护全过程跟踪结算评审。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sz w:val="30"/>
          <w:szCs w:val="30"/>
          <w:lang w:val="en-US" w:eastAsia="zh-CN"/>
        </w:rPr>
        <w:t>　　二、项目基本情况：</w:t>
      </w:r>
      <w:r>
        <w:rPr>
          <w:rFonts w:hint="eastAsia" w:ascii="仿宋_GB2312" w:hAnsi="仿宋_GB2312" w:eastAsia="仿宋_GB2312" w:cs="仿宋_GB2312"/>
          <w:sz w:val="30"/>
          <w:szCs w:val="30"/>
        </w:rPr>
        <w:t>根据前期统计测算，202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</w:rPr>
        <w:t>年度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人行道及附属设施维修维护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项目支出约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2825</w:t>
      </w:r>
      <w:r>
        <w:rPr>
          <w:rFonts w:hint="eastAsia" w:ascii="仿宋_GB2312" w:hAnsi="仿宋_GB2312" w:eastAsia="仿宋_GB2312" w:cs="仿宋_GB2312"/>
          <w:sz w:val="30"/>
          <w:szCs w:val="30"/>
        </w:rPr>
        <w:t>万元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拟按季度进行结算，需跟项目进度分别出具造价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跟踪报告和造价结算报告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/>
        <w:textAlignment w:val="auto"/>
        <w:outlineLvl w:val="9"/>
        <w:rPr>
          <w:rFonts w:hint="eastAsia" w:ascii="黑体" w:hAnsi="黑体" w:eastAsia="黑体" w:cs="黑体"/>
          <w:color w:val="auto"/>
          <w:kern w:val="1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1"/>
          <w:sz w:val="30"/>
          <w:szCs w:val="30"/>
          <w:lang w:val="en-US" w:eastAsia="zh-CN"/>
        </w:rPr>
        <w:t>三、服务要求：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全过程跟踪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评审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，团队需配备不少于2名造价工程师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和造价员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，从业年限不少于5年。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　　</w:t>
      </w:r>
      <w:r>
        <w:rPr>
          <w:rFonts w:hint="eastAsia" w:ascii="仿宋_GB2312" w:hAnsi="仿宋_GB2312" w:eastAsia="仿宋_GB2312" w:cs="仿宋_GB2312"/>
          <w:b/>
          <w:bCs/>
          <w:color w:val="auto"/>
          <w:kern w:val="1"/>
          <w:sz w:val="30"/>
          <w:szCs w:val="30"/>
          <w:lang w:val="en-US" w:eastAsia="zh-CN"/>
        </w:rPr>
        <w:t>2、跟踪阶段: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审核合同的主体是否合法；合同的形式是否符合本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的特点和要求，合同所有条款是否符合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《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中华人民共和国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民法典》及其他相关法律法规规范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的要求和规定，是否有满足本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质量、工期、投资的相应措施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;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评审机构应派出现场代表参加现场签证工作，并做好有效记录，必要时配以简图，图片和文字说明，保证签证的真实、有效、及时、完整；遇重大设计变更需对投资进行较大调整时，咨询机构应对变更手续是否齐备、送审单位报审的变更工程量及造价是否合理进行书面确认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;出具跟踪评审报告。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　　</w:t>
      </w:r>
      <w:r>
        <w:rPr>
          <w:rFonts w:hint="eastAsia" w:ascii="仿宋_GB2312" w:hAnsi="仿宋_GB2312" w:eastAsia="仿宋_GB2312" w:cs="仿宋_GB2312"/>
          <w:b/>
          <w:bCs/>
          <w:color w:val="auto"/>
          <w:kern w:val="1"/>
          <w:sz w:val="30"/>
          <w:szCs w:val="30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color w:val="auto"/>
          <w:kern w:val="1"/>
          <w:sz w:val="30"/>
          <w:szCs w:val="30"/>
        </w:rPr>
        <w:t>结算</w:t>
      </w:r>
      <w:r>
        <w:rPr>
          <w:rFonts w:hint="eastAsia" w:ascii="仿宋_GB2312" w:hAnsi="仿宋_GB2312" w:eastAsia="仿宋_GB2312" w:cs="仿宋_GB2312"/>
          <w:b/>
          <w:bCs/>
          <w:color w:val="auto"/>
          <w:kern w:val="1"/>
          <w:sz w:val="30"/>
          <w:szCs w:val="30"/>
          <w:lang w:eastAsia="zh-CN"/>
        </w:rPr>
        <w:t>阶段</w:t>
      </w:r>
      <w:r>
        <w:rPr>
          <w:rFonts w:hint="eastAsia" w:ascii="仿宋_GB2312" w:hAnsi="仿宋_GB2312" w:eastAsia="仿宋_GB2312" w:cs="仿宋_GB2312"/>
          <w:b/>
          <w:bCs/>
          <w:color w:val="auto"/>
          <w:kern w:val="1"/>
          <w:sz w:val="30"/>
          <w:szCs w:val="30"/>
        </w:rPr>
        <w:t>：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依据国家有关法律、法规和标准的规定，按照发包、承包双方合同约定确定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的最终造价。包括但不限于以下内容：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内容是否符合合同约定，是否在批准的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预算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</w:rPr>
        <w:t>范围内；结算是否符合国家、省、市规定和要求；是否符合合同约定的结算方式、计价原则、取费标准、主材及设备价格和优惠条款等； 隐蔽工程施工记录、设计变更和签证等手续是否完整、合规，结算工程量与竣工图工程量是否一致；定额选套是否合理、准确；材料（设备）、人工、机械台班取价是否合理、准确等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kern w:val="1"/>
          <w:sz w:val="30"/>
          <w:szCs w:val="30"/>
          <w:lang w:val="en-US" w:eastAsia="zh-CN"/>
        </w:rPr>
        <w:t>并出具结算评审报告。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　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　四、结算方式及标准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1、方式：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按项目结算进度提交造价跟踪报告、结算报告各1份，提交的成果报告合格后按比例进行结算评审费。计算公式：审定额/2825万元*中标金额。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2、标准：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全年结算金额≧中标额，按中标额结算；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全年结算金额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0"/>
          <w:szCs w:val="30"/>
          <w:highlight w:val="none"/>
          <w:lang w:eastAsia="zh-CN"/>
        </w:rPr>
        <w:t>＜中标额，按实际金额结算。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kern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905A32"/>
    <w:rsid w:val="2C23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武汉市东湖高新管委会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2022-01-19T01:52:00Z</dcterms:created>
  <dc:creator>Administrator</dc:creator>
  <cp:lastModifiedBy>Administrator</cp:lastModifiedBy>
  <dcterms:modified xsi:type="dcterms:W3CDTF">2022-01-19T07:09:41Z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