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15705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0"/>
        <w:rPr>
          <w:rFonts w:hint="eastAsia" w:ascii="Times New Roman" w:hAnsi="Times New Roman" w:eastAsia="方正小标宋简体" w:cs="方正小标宋简体"/>
          <w:b w:val="0"/>
          <w:bCs/>
          <w:sz w:val="36"/>
          <w:szCs w:val="36"/>
          <w:highlight w:val="none"/>
          <w:lang w:val="en-US" w:eastAsia="zh-CN"/>
        </w:rPr>
      </w:pPr>
      <w:r>
        <w:rPr>
          <w:rFonts w:hint="default" w:ascii="Times New Roman" w:hAnsi="Times New Roman" w:eastAsia="方正小标宋简体" w:cs="方正小标宋简体"/>
          <w:b w:val="0"/>
          <w:bCs/>
          <w:sz w:val="36"/>
          <w:szCs w:val="36"/>
          <w:highlight w:val="none"/>
          <w:lang w:val="en-US" w:eastAsia="zh-CN"/>
        </w:rPr>
        <w:t>东湖高新区社会治理中心信息化项目</w:t>
      </w:r>
      <w:r>
        <w:rPr>
          <w:rFonts w:hint="eastAsia" w:ascii="Times New Roman" w:hAnsi="Times New Roman" w:eastAsia="方正小标宋简体" w:cs="方正小标宋简体"/>
          <w:b w:val="0"/>
          <w:bCs/>
          <w:sz w:val="36"/>
          <w:szCs w:val="36"/>
          <w:highlight w:val="none"/>
          <w:lang w:val="en-US" w:eastAsia="zh-CN"/>
        </w:rPr>
        <w:t>等级保护测评和</w:t>
      </w:r>
    </w:p>
    <w:p w14:paraId="0990040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0"/>
        <w:rPr>
          <w:rFonts w:hint="eastAsia" w:ascii="Times New Roman" w:hAnsi="Times New Roman" w:eastAsia="方正小标宋简体" w:cs="方正小标宋简体"/>
          <w:b w:val="0"/>
          <w:bCs/>
          <w:sz w:val="36"/>
          <w:szCs w:val="36"/>
          <w:highlight w:val="yellow"/>
        </w:rPr>
      </w:pPr>
      <w:r>
        <w:rPr>
          <w:rFonts w:hint="eastAsia" w:ascii="Times New Roman" w:hAnsi="Times New Roman" w:eastAsia="方正小标宋简体" w:cs="方正小标宋简体"/>
          <w:b w:val="0"/>
          <w:bCs/>
          <w:sz w:val="36"/>
          <w:szCs w:val="36"/>
          <w:highlight w:val="none"/>
          <w:lang w:val="en-US" w:eastAsia="zh-CN"/>
        </w:rPr>
        <w:t>商用密码应用安全性评估服务</w:t>
      </w:r>
      <w:r>
        <w:rPr>
          <w:rFonts w:hint="eastAsia" w:ascii="Times New Roman" w:hAnsi="Times New Roman" w:eastAsia="方正小标宋简体" w:cs="方正小标宋简体"/>
          <w:b w:val="0"/>
          <w:bCs/>
          <w:sz w:val="36"/>
          <w:szCs w:val="36"/>
          <w:highlight w:val="none"/>
        </w:rPr>
        <w:t>采购需求</w:t>
      </w:r>
    </w:p>
    <w:p w14:paraId="2B7BF0BC">
      <w:pPr>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rPr>
      </w:pPr>
    </w:p>
    <w:p w14:paraId="71427E50">
      <w:pPr>
        <w:pStyle w:val="5"/>
        <w:pageBreakBefore w:val="0"/>
        <w:widowControl w:val="0"/>
        <w:numPr>
          <w:ilvl w:val="0"/>
          <w:numId w:val="2"/>
        </w:numPr>
        <w:kinsoku/>
        <w:wordWrap/>
        <w:overflowPunct/>
        <w:topLinePunct w:val="0"/>
        <w:autoSpaceDE/>
        <w:autoSpaceDN/>
        <w:bidi w:val="0"/>
        <w:adjustRightInd/>
        <w:snapToGrid/>
        <w:spacing w:before="0" w:beforeLines="0" w:after="0" w:afterLines="0" w:line="560" w:lineRule="exact"/>
        <w:ind w:left="0" w:firstLine="560" w:firstLineChars="200"/>
        <w:jc w:val="left"/>
        <w:textAlignment w:val="auto"/>
        <w:rPr>
          <w:rFonts w:hint="default" w:ascii="Times New Roman" w:hAnsi="Times New Roman" w:eastAsia="黑体" w:cs="Times New Roman"/>
          <w:b w:val="0"/>
          <w:bCs w:val="0"/>
          <w:color w:val="000000"/>
          <w:sz w:val="28"/>
          <w:szCs w:val="28"/>
        </w:rPr>
      </w:pPr>
      <w:r>
        <w:rPr>
          <w:rFonts w:hint="default" w:ascii="Times New Roman" w:hAnsi="Times New Roman" w:eastAsia="黑体" w:cs="Times New Roman"/>
          <w:b w:val="0"/>
          <w:bCs w:val="0"/>
          <w:color w:val="000000"/>
          <w:sz w:val="28"/>
          <w:szCs w:val="28"/>
        </w:rPr>
        <w:t>项目基本情况</w:t>
      </w:r>
    </w:p>
    <w:p w14:paraId="1373FED9">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1.项目编号：</w:t>
      </w:r>
    </w:p>
    <w:p w14:paraId="0D955703">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2.采购计划备案号：</w:t>
      </w:r>
    </w:p>
    <w:p w14:paraId="0CC7225F">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lang w:val="en-US" w:eastAsia="zh-CN"/>
        </w:rPr>
        <w:t>3.项目名称：东湖高新区社会治理中心信息化项目</w:t>
      </w:r>
      <w:r>
        <w:rPr>
          <w:rFonts w:hint="eastAsia" w:ascii="Times New Roman" w:hAnsi="Times New Roman" w:eastAsia="仿宋_GB2312" w:cs="Times New Roman"/>
          <w:sz w:val="28"/>
          <w:szCs w:val="28"/>
          <w:lang w:val="en-US" w:eastAsia="zh-CN"/>
        </w:rPr>
        <w:t>等级保护测评和商用密码应用安全性评估</w:t>
      </w:r>
      <w:r>
        <w:rPr>
          <w:rFonts w:hint="default" w:ascii="Times New Roman" w:hAnsi="Times New Roman" w:eastAsia="仿宋_GB2312" w:cs="Times New Roman"/>
          <w:sz w:val="28"/>
          <w:szCs w:val="28"/>
          <w:highlight w:val="none"/>
          <w:lang w:val="en-US" w:eastAsia="zh-CN"/>
        </w:rPr>
        <w:t>服务</w:t>
      </w:r>
    </w:p>
    <w:p w14:paraId="0708E516">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4.采购方式：</w:t>
      </w:r>
      <w:r>
        <w:rPr>
          <w:rFonts w:hint="eastAsia" w:ascii="Times New Roman" w:hAnsi="Times New Roman" w:eastAsia="仿宋_GB2312" w:cs="Times New Roman"/>
          <w:sz w:val="28"/>
          <w:szCs w:val="28"/>
          <w:lang w:val="en-US" w:eastAsia="zh-CN"/>
        </w:rPr>
        <w:t>邀请</w:t>
      </w:r>
      <w:r>
        <w:rPr>
          <w:rFonts w:hint="default" w:ascii="Times New Roman" w:hAnsi="Times New Roman" w:eastAsia="仿宋_GB2312" w:cs="Times New Roman"/>
          <w:sz w:val="28"/>
          <w:szCs w:val="28"/>
          <w:lang w:val="en-US" w:eastAsia="zh-CN"/>
        </w:rPr>
        <w:t>竞价</w:t>
      </w:r>
    </w:p>
    <w:p w14:paraId="1B090C37">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5.预算金额：</w:t>
      </w:r>
      <w:r>
        <w:rPr>
          <w:rFonts w:hint="eastAsia" w:ascii="Times New Roman" w:hAnsi="Times New Roman" w:eastAsia="仿宋_GB2312" w:cs="Times New Roman"/>
          <w:sz w:val="28"/>
          <w:szCs w:val="28"/>
          <w:lang w:val="en-US" w:eastAsia="zh-CN"/>
        </w:rPr>
        <w:t>18.00</w:t>
      </w:r>
      <w:r>
        <w:rPr>
          <w:rFonts w:hint="default" w:ascii="Times New Roman" w:hAnsi="Times New Roman" w:eastAsia="仿宋_GB2312" w:cs="Times New Roman"/>
          <w:sz w:val="28"/>
          <w:szCs w:val="28"/>
          <w:lang w:val="en-US" w:eastAsia="zh-CN"/>
        </w:rPr>
        <w:t>万元</w:t>
      </w:r>
    </w:p>
    <w:p w14:paraId="6D434036">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6.最高限价：</w:t>
      </w:r>
      <w:r>
        <w:rPr>
          <w:rFonts w:hint="eastAsia" w:ascii="Times New Roman" w:hAnsi="Times New Roman" w:eastAsia="仿宋_GB2312" w:cs="Times New Roman"/>
          <w:sz w:val="28"/>
          <w:szCs w:val="28"/>
          <w:lang w:val="en-US" w:eastAsia="zh-CN"/>
        </w:rPr>
        <w:t>18.00</w:t>
      </w:r>
      <w:r>
        <w:rPr>
          <w:rFonts w:hint="default" w:ascii="Times New Roman" w:hAnsi="Times New Roman" w:eastAsia="仿宋_GB2312" w:cs="Times New Roman"/>
          <w:sz w:val="28"/>
          <w:szCs w:val="28"/>
          <w:lang w:val="en-US" w:eastAsia="zh-CN"/>
        </w:rPr>
        <w:t>万元</w:t>
      </w:r>
    </w:p>
    <w:p w14:paraId="447546EF">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7.采购需求：</w:t>
      </w:r>
      <w:r>
        <w:rPr>
          <w:rFonts w:hint="eastAsia" w:ascii="Times New Roman" w:hAnsi="Times New Roman" w:eastAsia="仿宋_GB2312" w:cs="Times New Roman"/>
          <w:sz w:val="28"/>
          <w:szCs w:val="28"/>
          <w:lang w:val="en-US" w:eastAsia="zh-CN"/>
        </w:rPr>
        <w:t>等级保护测评和商用密码应</w:t>
      </w:r>
      <w:bookmarkStart w:id="1" w:name="_GoBack"/>
      <w:bookmarkEnd w:id="1"/>
      <w:r>
        <w:rPr>
          <w:rFonts w:hint="eastAsia" w:ascii="Times New Roman" w:hAnsi="Times New Roman" w:eastAsia="仿宋_GB2312" w:cs="Times New Roman"/>
          <w:sz w:val="28"/>
          <w:szCs w:val="28"/>
          <w:lang w:val="en-US" w:eastAsia="zh-CN"/>
        </w:rPr>
        <w:t>用安全性评估</w:t>
      </w:r>
      <w:r>
        <w:rPr>
          <w:rFonts w:hint="default" w:ascii="Times New Roman" w:hAnsi="Times New Roman" w:eastAsia="仿宋_GB2312" w:cs="Times New Roman"/>
          <w:sz w:val="28"/>
          <w:szCs w:val="28"/>
          <w:highlight w:val="none"/>
          <w:lang w:val="en-US" w:eastAsia="zh-CN"/>
        </w:rPr>
        <w:t>服务</w:t>
      </w:r>
    </w:p>
    <w:p w14:paraId="666E838B">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8.合同履行期限：预估</w:t>
      </w:r>
      <w:r>
        <w:rPr>
          <w:rFonts w:hint="eastAsia" w:ascii="Times New Roman" w:hAnsi="Times New Roman" w:eastAsia="仿宋_GB2312" w:cs="Times New Roman"/>
          <w:sz w:val="28"/>
          <w:szCs w:val="28"/>
          <w:lang w:val="en-US" w:eastAsia="zh-CN"/>
        </w:rPr>
        <w:t>10</w:t>
      </w:r>
      <w:r>
        <w:rPr>
          <w:rFonts w:hint="default" w:ascii="Times New Roman" w:hAnsi="Times New Roman" w:eastAsia="仿宋_GB2312" w:cs="Times New Roman"/>
          <w:sz w:val="28"/>
          <w:szCs w:val="28"/>
          <w:lang w:val="zh-CN" w:eastAsia="zh-CN"/>
        </w:rPr>
        <w:t>个月（</w:t>
      </w:r>
      <w:r>
        <w:rPr>
          <w:rFonts w:hint="default" w:ascii="Times New Roman" w:hAnsi="Times New Roman" w:eastAsia="仿宋_GB2312" w:cs="Times New Roman"/>
          <w:sz w:val="28"/>
          <w:szCs w:val="28"/>
          <w:lang w:val="en-US" w:eastAsia="zh-CN"/>
        </w:rPr>
        <w:t>以项目实际工期为准</w:t>
      </w:r>
      <w:r>
        <w:rPr>
          <w:rFonts w:hint="default" w:ascii="Times New Roman" w:hAnsi="Times New Roman" w:eastAsia="仿宋_GB2312" w:cs="Times New Roman"/>
          <w:sz w:val="28"/>
          <w:szCs w:val="28"/>
          <w:lang w:val="zh-CN" w:eastAsia="zh-CN"/>
        </w:rPr>
        <w:t>）</w:t>
      </w:r>
      <w:r>
        <w:rPr>
          <w:rFonts w:hint="default" w:ascii="Times New Roman" w:hAnsi="Times New Roman" w:eastAsia="仿宋_GB2312" w:cs="Times New Roman"/>
          <w:sz w:val="28"/>
          <w:szCs w:val="28"/>
          <w:lang w:val="en-US" w:eastAsia="zh-CN"/>
        </w:rPr>
        <w:t>。</w:t>
      </w:r>
    </w:p>
    <w:p w14:paraId="4CF9DD3D">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9.是否专门面向中小企业：否。</w:t>
      </w:r>
    </w:p>
    <w:p w14:paraId="48ACC948">
      <w:pPr>
        <w:pStyle w:val="5"/>
        <w:pageBreakBefore w:val="0"/>
        <w:widowControl w:val="0"/>
        <w:numPr>
          <w:ilvl w:val="0"/>
          <w:numId w:val="2"/>
        </w:numPr>
        <w:kinsoku/>
        <w:wordWrap/>
        <w:overflowPunct/>
        <w:topLinePunct w:val="0"/>
        <w:autoSpaceDE/>
        <w:autoSpaceDN/>
        <w:bidi w:val="0"/>
        <w:adjustRightInd/>
        <w:snapToGrid/>
        <w:spacing w:before="0" w:beforeLines="0" w:after="0" w:afterLines="0" w:line="560" w:lineRule="exact"/>
        <w:ind w:left="0" w:firstLine="560" w:firstLineChars="200"/>
        <w:jc w:val="left"/>
        <w:textAlignment w:val="auto"/>
        <w:rPr>
          <w:rFonts w:hint="default" w:ascii="Times New Roman" w:hAnsi="Times New Roman" w:eastAsia="黑体" w:cs="Times New Roman"/>
          <w:b w:val="0"/>
          <w:bCs w:val="0"/>
          <w:color w:val="000000"/>
          <w:sz w:val="28"/>
          <w:szCs w:val="28"/>
        </w:rPr>
      </w:pPr>
      <w:r>
        <w:rPr>
          <w:rFonts w:hint="default" w:ascii="Times New Roman" w:hAnsi="Times New Roman" w:eastAsia="黑体" w:cs="Times New Roman"/>
          <w:b w:val="0"/>
          <w:bCs w:val="0"/>
          <w:color w:val="000000"/>
          <w:sz w:val="28"/>
          <w:szCs w:val="28"/>
        </w:rPr>
        <w:t>申请人的资格要求</w:t>
      </w:r>
    </w:p>
    <w:p w14:paraId="47FC0F84">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1.满足《中华人民共和国政府采购法》第二十二条规定，即：</w:t>
      </w:r>
    </w:p>
    <w:p w14:paraId="48210AA9">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（1）具有独立承担民事责任的能力；</w:t>
      </w:r>
    </w:p>
    <w:p w14:paraId="35E67C5A">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（2）具有良好的商业信誉和健全的财务会计制度；</w:t>
      </w:r>
    </w:p>
    <w:p w14:paraId="793A9A76">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（3）具有履行合同所必需的设备和专业技术能力；</w:t>
      </w:r>
    </w:p>
    <w:p w14:paraId="312E95E5">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（4）有依法缴纳税收和社会保障资金的良好记录；</w:t>
      </w:r>
    </w:p>
    <w:p w14:paraId="7E9F1CAD">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（5）参加政府采购活动前三年内，在经营活动中没有重大违法记录；</w:t>
      </w:r>
    </w:p>
    <w:p w14:paraId="392D64A1">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（6）法律、行政法规规定的其他条件。</w:t>
      </w:r>
    </w:p>
    <w:p w14:paraId="3371BA1C">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2.单位负责人为同一人或者存在直接控股、管理关系的不同供应商，不得参加本项目同一合同项下的政府采购活动。</w:t>
      </w:r>
    </w:p>
    <w:p w14:paraId="7C4A5228">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lang w:val="en-US" w:eastAsia="zh-CN"/>
        </w:rPr>
        <w:t>3.为本采购项目提供整体设计、规范编制或者监理、检测等服务的，不得再参加本项目的其他招标采购活动。</w:t>
      </w:r>
    </w:p>
    <w:p w14:paraId="006EEDF4">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4.未被列入失信被执行人、重大税收违法案件当事人名单，未被列入政府采购严重违法失信行为记录名单。</w:t>
      </w:r>
    </w:p>
    <w:p w14:paraId="5D93B01B">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5.落实政府采购政策需满足的资格要求：无。</w:t>
      </w:r>
    </w:p>
    <w:p w14:paraId="25B03170">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6.本项目的特定资格要求：投标方须具有《网络安全等级测评与检测评估机构服务认证证书》</w:t>
      </w:r>
      <w:r>
        <w:rPr>
          <w:rFonts w:hint="eastAsia" w:ascii="Times New Roman" w:hAnsi="Times New Roman" w:eastAsia="仿宋_GB2312" w:cs="Times New Roman"/>
          <w:sz w:val="28"/>
          <w:szCs w:val="28"/>
          <w:lang w:val="en-US" w:eastAsia="zh-CN"/>
        </w:rPr>
        <w:t>和</w:t>
      </w:r>
      <w:r>
        <w:rPr>
          <w:rFonts w:hint="default" w:ascii="Times New Roman" w:hAnsi="Times New Roman" w:eastAsia="仿宋_GB2312" w:cs="Times New Roman"/>
          <w:sz w:val="28"/>
          <w:szCs w:val="28"/>
          <w:lang w:val="en-US" w:eastAsia="zh-CN"/>
        </w:rPr>
        <w:t>《商用密码检测机构资质证书》。</w:t>
      </w:r>
    </w:p>
    <w:p w14:paraId="777F1E91">
      <w:pPr>
        <w:pStyle w:val="5"/>
        <w:pageBreakBefore w:val="0"/>
        <w:widowControl w:val="0"/>
        <w:numPr>
          <w:ilvl w:val="0"/>
          <w:numId w:val="2"/>
        </w:numPr>
        <w:kinsoku/>
        <w:wordWrap/>
        <w:overflowPunct/>
        <w:topLinePunct w:val="0"/>
        <w:autoSpaceDE/>
        <w:autoSpaceDN/>
        <w:bidi w:val="0"/>
        <w:adjustRightInd/>
        <w:snapToGrid/>
        <w:spacing w:before="0" w:beforeLines="0" w:after="0" w:afterLines="0" w:line="560" w:lineRule="exact"/>
        <w:ind w:left="0" w:firstLine="560" w:firstLineChars="200"/>
        <w:jc w:val="left"/>
        <w:textAlignment w:val="auto"/>
        <w:rPr>
          <w:rFonts w:hint="eastAsia" w:ascii="Times New Roman" w:hAnsi="Times New Roman" w:eastAsia="黑体" w:cs="Times New Roman"/>
          <w:b w:val="0"/>
          <w:bCs w:val="0"/>
          <w:color w:val="000000"/>
          <w:sz w:val="28"/>
          <w:szCs w:val="28"/>
          <w:lang w:val="en-US" w:eastAsia="zh-CN"/>
        </w:rPr>
      </w:pPr>
      <w:r>
        <w:rPr>
          <w:rFonts w:hint="eastAsia" w:ascii="Times New Roman" w:hAnsi="Times New Roman" w:eastAsia="黑体" w:cs="Times New Roman"/>
          <w:b w:val="0"/>
          <w:bCs w:val="0"/>
          <w:color w:val="000000"/>
          <w:sz w:val="28"/>
          <w:szCs w:val="28"/>
          <w:lang w:val="en-US" w:eastAsia="zh-CN"/>
        </w:rPr>
        <w:t>项目概况</w:t>
      </w:r>
    </w:p>
    <w:p w14:paraId="1DEAB4F2">
      <w:pPr>
        <w:pStyle w:val="5"/>
        <w:keepNext/>
        <w:keepLines/>
        <w:pageBreakBefore w:val="0"/>
        <w:widowControl w:val="0"/>
        <w:kinsoku/>
        <w:wordWrap/>
        <w:overflowPunct/>
        <w:topLinePunct w:val="0"/>
        <w:autoSpaceDE/>
        <w:autoSpaceDN/>
        <w:bidi w:val="0"/>
        <w:adjustRightInd/>
        <w:snapToGrid/>
        <w:spacing w:before="0" w:after="0" w:line="560" w:lineRule="exact"/>
        <w:ind w:firstLine="562" w:firstLineChars="200"/>
        <w:textAlignment w:val="auto"/>
        <w:rPr>
          <w:rFonts w:hint="eastAsia"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项目背景</w:t>
      </w:r>
    </w:p>
    <w:p w14:paraId="034797A2">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en-US" w:eastAsia="zh-CN"/>
        </w:rPr>
      </w:pPr>
      <w:r>
        <w:rPr>
          <w:rFonts w:hint="eastAsia" w:ascii="Times New Roman" w:hAnsi="Times New Roman" w:eastAsia="仿宋_GB2312" w:cs="仿宋_GB2312"/>
          <w:sz w:val="28"/>
          <w:szCs w:val="28"/>
          <w:highlight w:val="none"/>
          <w:lang w:val="en-US" w:eastAsia="zh-CN"/>
        </w:rPr>
        <w:t>中共中央办公厅国务院办公厅《关于着力推进信访工作法治化的意见》（厅字〔2024〕24号），中共湖北省委平安湖北建设领导小组《关于进一步加强社会治安综合治理中心规范化建设的意见》（鄂平安组〔2022〕6号），湖北省信访工作联席会议办公室关于《县级社会矛盾纠纷调处中心“一站式、一条龙、一次性”依法分类受理办理工作指引》，市委平安武汉建设领导小组《关于深化矛盾纠纷多元化解的工作方案》（武平安组〔2023〕4号）均提出要求“强化支撑保障。加快信访信息系统建设联通、功能优化和深度应用，统筹利用相关信息平台，实现对矛盾纠纷情况的全量掌握，促进上下贯通、左右协同。”，“打通政法单位、信访部门、行政机关、乡镇（街道）矛盾纠纷化解数据，推动数据信息贯通共享、集成共用，提升一站式化解矛盾纠纷智能化水平”。2024年11月22日，中央政法委办公厅印发《关于加强社会治安综合治理中心规范化建设的意见》，要求“各级综治中心要加强信息化建设，汇聚矛盾纠纷和社会治安数据，实现业务在线协同，确保数据安全。”“综治中心对群众诉求的受理、办理情况要全程跟踪、及时督办，确保群众的每一项诉求都有人办理、群众的每一项诉求都依法推进。”</w:t>
      </w:r>
    </w:p>
    <w:p w14:paraId="455D11DD">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en-US" w:eastAsia="zh-CN"/>
        </w:rPr>
      </w:pPr>
      <w:r>
        <w:rPr>
          <w:rFonts w:hint="eastAsia" w:ascii="Times New Roman" w:hAnsi="Times New Roman" w:eastAsia="仿宋_GB2312" w:cs="仿宋_GB2312"/>
          <w:sz w:val="28"/>
          <w:szCs w:val="28"/>
          <w:highlight w:val="none"/>
          <w:lang w:val="en-US" w:eastAsia="zh-CN"/>
        </w:rPr>
        <w:t>2024年8月28日第18次党工委会，11月30日第15次常务会，分别听取并原则同意东湖高新区社会治理中心建设有关情况的汇报，审定项目名称，要求加快东湖高新区社会治理中心建设，探索构建“功能完善、数据共享”的社会治理服务平台，形成社会治理工作合力，打造新时代“枫桥经验”光谷样板，提升基层社会治理效能。期间，委领导多次调度项目进展，针对项目业务需求、方案设计，亲自打磨、指导。</w:t>
      </w:r>
    </w:p>
    <w:p w14:paraId="21B46FC6">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en-US" w:eastAsia="zh-CN"/>
        </w:rPr>
      </w:pPr>
      <w:r>
        <w:rPr>
          <w:rFonts w:hint="eastAsia" w:ascii="Times New Roman" w:hAnsi="Times New Roman" w:eastAsia="仿宋_GB2312" w:cs="仿宋_GB2312"/>
          <w:sz w:val="28"/>
          <w:szCs w:val="28"/>
          <w:highlight w:val="none"/>
          <w:lang w:val="en-US" w:eastAsia="zh-CN"/>
        </w:rPr>
        <w:t>近年来，全区矛盾纠纷总量持续攀升，但群众反映诉求渠道较为分散，12345市民热线、阳光信访、线下窗口等多渠道缺乏整合，群众“多头跑”、部门“多头受理”的现象普遍存在。同时，化解力量难以形成合力，人民调解、行政调解、司法调解等多元化解力量信息不互通、资源不共享。</w:t>
      </w:r>
    </w:p>
    <w:p w14:paraId="37FA82EB">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en-US" w:eastAsia="zh-CN"/>
        </w:rPr>
      </w:pPr>
      <w:r>
        <w:rPr>
          <w:rFonts w:hint="eastAsia" w:ascii="Times New Roman" w:hAnsi="Times New Roman" w:eastAsia="仿宋_GB2312" w:cs="仿宋_GB2312"/>
          <w:sz w:val="28"/>
          <w:szCs w:val="28"/>
          <w:highlight w:val="none"/>
          <w:lang w:val="en-US" w:eastAsia="zh-CN"/>
        </w:rPr>
        <w:t>数据资源分散，态势研判能力不足。信访、市民热线、人社、法院等各部门、各领域矛盾纠纷数据分散割裂；数据挖掘程度不高，对全区矛盾纠纷态势的把握与研判不足，严重影响预警及精准施策效果。</w:t>
      </w:r>
    </w:p>
    <w:p w14:paraId="670A410D">
      <w:pPr>
        <w:pStyle w:val="5"/>
        <w:keepNext/>
        <w:keepLines/>
        <w:pageBreakBefore w:val="0"/>
        <w:widowControl w:val="0"/>
        <w:kinsoku/>
        <w:wordWrap/>
        <w:overflowPunct/>
        <w:topLinePunct w:val="0"/>
        <w:autoSpaceDE/>
        <w:autoSpaceDN/>
        <w:bidi w:val="0"/>
        <w:adjustRightInd/>
        <w:snapToGrid/>
        <w:spacing w:before="0" w:after="0" w:line="560" w:lineRule="exact"/>
        <w:ind w:firstLine="562" w:firstLineChars="200"/>
        <w:textAlignment w:val="auto"/>
        <w:rPr>
          <w:rFonts w:hint="eastAsia"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项目目标</w:t>
      </w:r>
    </w:p>
    <w:p w14:paraId="75AE9BED">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en-US" w:eastAsia="zh-CN"/>
        </w:rPr>
      </w:pPr>
      <w:r>
        <w:rPr>
          <w:rFonts w:hint="eastAsia" w:ascii="Times New Roman" w:hAnsi="Times New Roman" w:eastAsia="仿宋_GB2312" w:cs="仿宋_GB2312"/>
          <w:sz w:val="28"/>
          <w:szCs w:val="28"/>
          <w:highlight w:val="none"/>
          <w:lang w:val="en-US" w:eastAsia="zh-CN"/>
        </w:rPr>
        <w:t>项目以构建全区矛盾纠纷多元化解“一站式”服务平台为目标，坚持和发展新时代“枫桥经验”，建设区、街、社区（村）三级互联互通、信息共享、业务协同的社会治理信息化平台。整合政法、信访、行政机关等多源数据，实现全区矛盾纠纷数据全量掌握，推动跨部门数据共享和业务协同，促进上下贯通、左右协同。打造集矛盾纠纷多元化解、社会风险监测预警、基层社会治理等功能于一体的“智慧枢纽”，实现信访问题和矛盾纠纷事件的统一受理、统一办理、统一督办，实现区内同一社会治理事件“只办一次”，提升社会矛盾纠纷预防化解能力和社会治理效能。预期实现信访和矛盾纠纷数据电子化记录率超过90%，为数据驱动决策奠定基础。同时，借助大数据模型技术，实现社会治理事件智能分拨准确率超90%，有效缩短事件办理时长，群众对社会治理满意度提升至80%以上，人民群众的获得感、幸福感和安全感显著增强。</w:t>
      </w:r>
    </w:p>
    <w:p w14:paraId="2519EB44">
      <w:pPr>
        <w:pStyle w:val="5"/>
        <w:keepNext/>
        <w:keepLines/>
        <w:pageBreakBefore w:val="0"/>
        <w:widowControl w:val="0"/>
        <w:kinsoku/>
        <w:wordWrap/>
        <w:overflowPunct/>
        <w:topLinePunct w:val="0"/>
        <w:autoSpaceDE/>
        <w:autoSpaceDN/>
        <w:bidi w:val="0"/>
        <w:adjustRightInd/>
        <w:snapToGrid/>
        <w:spacing w:before="0" w:after="0" w:line="560" w:lineRule="exact"/>
        <w:ind w:firstLine="562" w:firstLineChars="200"/>
        <w:textAlignment w:val="auto"/>
        <w:rPr>
          <w:rFonts w:hint="eastAsia"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项目建设内容</w:t>
      </w:r>
    </w:p>
    <w:p w14:paraId="337B510E">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en-US" w:eastAsia="zh-CN"/>
        </w:rPr>
      </w:pPr>
      <w:r>
        <w:rPr>
          <w:rFonts w:hint="eastAsia" w:ascii="Times New Roman" w:hAnsi="Times New Roman" w:eastAsia="仿宋_GB2312" w:cs="仿宋_GB2312"/>
          <w:sz w:val="28"/>
          <w:szCs w:val="28"/>
          <w:highlight w:val="none"/>
          <w:lang w:val="en-US" w:eastAsia="zh-CN"/>
        </w:rPr>
        <w:t>东湖高新区社会治理中心信息化项目建设内容为建设东湖高新区的“一站式”矛盾纠纷多元化解服务体系，包括建设1个矛盾纠纷数据资源库、3大业务平台（事件智能管理平台、矛盾纠纷多元化解平台、数据监测分析平台）及相关配套设施等。</w:t>
      </w:r>
    </w:p>
    <w:p w14:paraId="2087C862">
      <w:pPr>
        <w:pStyle w:val="5"/>
        <w:pageBreakBefore w:val="0"/>
        <w:widowControl w:val="0"/>
        <w:numPr>
          <w:ilvl w:val="0"/>
          <w:numId w:val="2"/>
        </w:numPr>
        <w:kinsoku/>
        <w:wordWrap/>
        <w:overflowPunct/>
        <w:topLinePunct w:val="0"/>
        <w:autoSpaceDE/>
        <w:autoSpaceDN/>
        <w:bidi w:val="0"/>
        <w:adjustRightInd/>
        <w:snapToGrid/>
        <w:spacing w:before="0" w:beforeLines="0" w:after="0" w:afterLines="0" w:line="560" w:lineRule="exact"/>
        <w:ind w:left="0" w:firstLine="560" w:firstLineChars="200"/>
        <w:jc w:val="left"/>
        <w:textAlignment w:val="auto"/>
        <w:rPr>
          <w:rFonts w:hint="eastAsia" w:ascii="Times New Roman" w:hAnsi="Times New Roman" w:eastAsia="黑体" w:cs="Times New Roman"/>
          <w:b w:val="0"/>
          <w:bCs w:val="0"/>
          <w:color w:val="000000"/>
          <w:sz w:val="28"/>
          <w:szCs w:val="28"/>
          <w:lang w:val="en-US" w:eastAsia="zh-CN"/>
        </w:rPr>
      </w:pPr>
      <w:r>
        <w:rPr>
          <w:rFonts w:hint="eastAsia" w:ascii="Times New Roman" w:hAnsi="Times New Roman" w:eastAsia="黑体" w:cs="Times New Roman"/>
          <w:b w:val="0"/>
          <w:bCs w:val="0"/>
          <w:color w:val="000000"/>
          <w:sz w:val="28"/>
          <w:szCs w:val="28"/>
          <w:lang w:val="en-US" w:eastAsia="zh-CN"/>
        </w:rPr>
        <w:t>服务内容</w:t>
      </w:r>
    </w:p>
    <w:p w14:paraId="3A4A28F2">
      <w:pPr>
        <w:keepNext w:val="0"/>
        <w:keepLines w:val="0"/>
        <w:pageBreakBefore w:val="0"/>
        <w:widowControl w:val="0"/>
        <w:kinsoku/>
        <w:wordWrap w:val="0"/>
        <w:overflowPunct/>
        <w:topLinePunct w:val="0"/>
        <w:autoSpaceDE/>
        <w:autoSpaceDN/>
        <w:bidi w:val="0"/>
        <w:adjustRightInd/>
        <w:snapToGrid/>
        <w:spacing w:line="560" w:lineRule="exact"/>
        <w:ind w:firstLine="562" w:firstLineChars="200"/>
        <w:textAlignment w:val="auto"/>
        <w:rPr>
          <w:rFonts w:hint="eastAsia" w:ascii="Times New Roman" w:hAnsi="Times New Roman" w:eastAsia="仿宋_GB2312" w:cs="仿宋_GB2312"/>
          <w:b/>
          <w:bCs/>
          <w:sz w:val="28"/>
          <w:szCs w:val="28"/>
          <w:highlight w:val="none"/>
          <w:lang w:val="zh-CN" w:eastAsia="zh-CN"/>
        </w:rPr>
      </w:pPr>
      <w:r>
        <w:rPr>
          <w:rFonts w:hint="eastAsia" w:ascii="Times New Roman" w:hAnsi="Times New Roman" w:eastAsia="仿宋_GB2312" w:cs="仿宋_GB2312"/>
          <w:b/>
          <w:bCs/>
          <w:sz w:val="28"/>
          <w:szCs w:val="28"/>
          <w:highlight w:val="none"/>
          <w:lang w:val="zh-CN" w:eastAsia="zh-CN"/>
        </w:rPr>
        <w:t>1.等级保护测评服务内容</w:t>
      </w:r>
    </w:p>
    <w:p w14:paraId="4E849B77">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投标方按照《GB/T22239-2019信息安全技术 信息系统安全等级保护基本要求》第三级标准对“社会治理中心信息化平台”进行等级保护测评，指导采购方按照等级保护技术标准完成网络安全整改，出具合等级测评报告。</w:t>
      </w:r>
    </w:p>
    <w:p w14:paraId="260ADCA0">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项目服务包括但不限于以下内容：</w:t>
      </w:r>
    </w:p>
    <w:p w14:paraId="0BF77606">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定级备案服务：协助甲方对“</w:t>
      </w:r>
      <w:r>
        <w:rPr>
          <w:rFonts w:hint="default" w:ascii="Times New Roman" w:hAnsi="Times New Roman" w:eastAsia="仿宋_GB2312" w:cs="Times New Roman"/>
          <w:sz w:val="28"/>
          <w:szCs w:val="28"/>
          <w:lang w:val="en-US" w:eastAsia="zh-CN"/>
        </w:rPr>
        <w:t>东湖高新区社会治理中心信息化项目</w:t>
      </w:r>
      <w:r>
        <w:rPr>
          <w:rFonts w:hint="eastAsia" w:ascii="Times New Roman" w:hAnsi="Times New Roman" w:eastAsia="仿宋_GB2312" w:cs="仿宋_GB2312"/>
          <w:sz w:val="28"/>
          <w:szCs w:val="28"/>
          <w:highlight w:val="none"/>
          <w:lang w:val="zh-CN" w:eastAsia="zh-CN"/>
        </w:rPr>
        <w:t>”进行定级、备案材料的编写，确保信息系统安全保护等级定级材料准确、备案材料完整，并到到属地公安局网安部门办理备案手续，使被测的信息系统取得公安机关颁发的《信息系统等级保护备案证明》。</w:t>
      </w:r>
    </w:p>
    <w:p w14:paraId="03593E1D">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等级保护差距分析服务：依据《GB/T 22239-2019 信息安全技术信息系统安全等级保护基本要求》等标准的要求，投标方在服务期内对“</w:t>
      </w:r>
      <w:r>
        <w:rPr>
          <w:rFonts w:hint="default" w:ascii="Times New Roman" w:hAnsi="Times New Roman" w:eastAsia="仿宋_GB2312" w:cs="Times New Roman"/>
          <w:sz w:val="28"/>
          <w:szCs w:val="28"/>
          <w:lang w:val="en-US" w:eastAsia="zh-CN"/>
        </w:rPr>
        <w:t>东湖高新区社会治理中心信息化项目</w:t>
      </w:r>
      <w:r>
        <w:rPr>
          <w:rFonts w:hint="eastAsia" w:ascii="Times New Roman" w:hAnsi="Times New Roman" w:eastAsia="仿宋_GB2312" w:cs="仿宋_GB2312"/>
          <w:sz w:val="28"/>
          <w:szCs w:val="28"/>
          <w:highlight w:val="none"/>
          <w:lang w:val="zh-CN" w:eastAsia="zh-CN"/>
        </w:rPr>
        <w:t>”提供差距分析服务，通过差距分析服务分析信息系统现状和等级保护基本要求之间的差距点。</w:t>
      </w:r>
    </w:p>
    <w:p w14:paraId="4B992EBD">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等级保护测评全周期咨询服务：进行差距分析后，分析差距点，出具对应的《等级保护整改方案》，为甲方安全整改提供咨询服务，协助甲方完成测评信息系统的安全整改，完善信息系统安全防护措施，规划整体安全架构，完善安全管理相关制度。</w:t>
      </w:r>
    </w:p>
    <w:p w14:paraId="73B71190">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网络安全等级保护等级测评服务：依据《GB/T 22239-2019 信息安全技术信息系统安全等级保护基本要求》等标准的要求，对“</w:t>
      </w:r>
      <w:r>
        <w:rPr>
          <w:rFonts w:hint="default" w:ascii="Times New Roman" w:hAnsi="Times New Roman" w:eastAsia="仿宋_GB2312" w:cs="Times New Roman"/>
          <w:sz w:val="28"/>
          <w:szCs w:val="28"/>
          <w:lang w:val="en-US" w:eastAsia="zh-CN"/>
        </w:rPr>
        <w:t>东湖高新区社会治理中心信息化项目</w:t>
      </w:r>
      <w:r>
        <w:rPr>
          <w:rFonts w:hint="eastAsia" w:ascii="Times New Roman" w:hAnsi="Times New Roman" w:eastAsia="仿宋_GB2312" w:cs="仿宋_GB2312"/>
          <w:sz w:val="28"/>
          <w:szCs w:val="28"/>
          <w:highlight w:val="none"/>
          <w:lang w:val="zh-CN" w:eastAsia="zh-CN"/>
        </w:rPr>
        <w:t>”提供等级测评服务，并出具符合国家等级保护格式要求的等级测评报告。</w:t>
      </w:r>
    </w:p>
    <w:p w14:paraId="2BAE99E9">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测评内容应包括但不限于以下内容：</w:t>
      </w:r>
    </w:p>
    <w:p w14:paraId="4F2DDF93">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1）安全技术测评：包括安全物理环境、安全通信网络、安全区域边界、安全计算环境和安全管理中心等五个方面的安全测评；</w:t>
      </w:r>
    </w:p>
    <w:p w14:paraId="2C4EF9E6">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 xml:space="preserve">（2）安全管理测评：安全管理机构、安全管理制度、安全管理人员、安全建设管理和安全运维管理等五个方面的安全测评； </w:t>
      </w:r>
    </w:p>
    <w:p w14:paraId="406435F7">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（3）系统整体测评：控制间测评、层面间测评、区域间测评、系统结构安全测评。</w:t>
      </w:r>
    </w:p>
    <w:p w14:paraId="79F69A11">
      <w:pPr>
        <w:keepNext w:val="0"/>
        <w:keepLines w:val="0"/>
        <w:pageBreakBefore w:val="0"/>
        <w:widowControl w:val="0"/>
        <w:kinsoku/>
        <w:wordWrap w:val="0"/>
        <w:overflowPunct/>
        <w:topLinePunct w:val="0"/>
        <w:autoSpaceDE/>
        <w:autoSpaceDN/>
        <w:bidi w:val="0"/>
        <w:adjustRightInd/>
        <w:snapToGrid/>
        <w:spacing w:line="560" w:lineRule="exact"/>
        <w:ind w:firstLine="562" w:firstLineChars="200"/>
        <w:textAlignment w:val="auto"/>
        <w:rPr>
          <w:rFonts w:hint="eastAsia" w:ascii="Times New Roman" w:hAnsi="Times New Roman" w:eastAsia="仿宋_GB2312" w:cs="仿宋_GB2312"/>
          <w:b/>
          <w:bCs/>
          <w:sz w:val="28"/>
          <w:szCs w:val="28"/>
          <w:highlight w:val="none"/>
          <w:lang w:val="zh-CN" w:eastAsia="zh-CN"/>
        </w:rPr>
      </w:pPr>
      <w:r>
        <w:rPr>
          <w:rFonts w:hint="eastAsia" w:ascii="Times New Roman" w:hAnsi="Times New Roman" w:eastAsia="仿宋_GB2312" w:cs="仿宋_GB2312"/>
          <w:b/>
          <w:bCs/>
          <w:sz w:val="28"/>
          <w:szCs w:val="28"/>
          <w:highlight w:val="none"/>
          <w:lang w:val="zh-CN" w:eastAsia="zh-CN"/>
        </w:rPr>
        <w:t>2.商用密码安全性评估服务内容</w:t>
      </w:r>
    </w:p>
    <w:p w14:paraId="436FE47D">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密码应用方案评估服务:依据GB/T 39786-2021《信息安全技术 信息系统密码应用基本要求》等标准的要求对</w:t>
      </w:r>
      <w:r>
        <w:rPr>
          <w:rFonts w:hint="default" w:ascii="Times New Roman" w:hAnsi="Times New Roman" w:eastAsia="仿宋_GB2312" w:cs="Times New Roman"/>
          <w:sz w:val="28"/>
          <w:szCs w:val="28"/>
          <w:lang w:val="en-US" w:eastAsia="zh-CN"/>
        </w:rPr>
        <w:t>东湖高新区社会治理中心信息化项目</w:t>
      </w:r>
      <w:r>
        <w:rPr>
          <w:rFonts w:hint="eastAsia" w:ascii="Times New Roman" w:hAnsi="Times New Roman" w:eastAsia="仿宋_GB2312" w:cs="仿宋_GB2312"/>
          <w:sz w:val="28"/>
          <w:szCs w:val="28"/>
          <w:highlight w:val="none"/>
          <w:lang w:val="zh-CN" w:eastAsia="zh-CN"/>
        </w:rPr>
        <w:t>信息系统的密码应用方案进行评估，对密码应用解决方案的完整性、合规性、正确性，以及实施计划、应急处置方案的科学性、可行性、完备性等方面进行评估，审查被测信息系统的密码应用方案是否涵盖了所有需要采用密码保护的核心资产及敏感信息，以及采取的密码保护措施是否均能够达到相应等级的密码应用要求或规定，并出具密码应用方案评估报告。</w:t>
      </w:r>
    </w:p>
    <w:p w14:paraId="1D26D3D7">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信息系统商用密码应用安全性评估:是根据社会治理中心信息化平台信息系统的安全保护等级，依据《GB/T 39786—2021信息安全技术信息系统密码应用基本要求》的条款要求，参照ISO9001或CNAS检验检测体系流程规范实施逐一对信息系统密码应用进行检测，并出具密码评估报告，并协助采购方前往密码局完成相关备案手续。</w:t>
      </w:r>
    </w:p>
    <w:p w14:paraId="2EE003B1">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测评的内容包括但不限于以下内容：</w:t>
      </w:r>
    </w:p>
    <w:p w14:paraId="7E92C252">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（1）安全技术测评：包括物理和环境安全、网络和通信安全、设备和计算安全、应用和数据安全等四个方面的安全测评。</w:t>
      </w:r>
    </w:p>
    <w:p w14:paraId="5412DD4F">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（2）安全管理测评：包括密钥管理、管理制度、人员管理、建设运行和应急处置五个方面的安全测评。</w:t>
      </w:r>
    </w:p>
    <w:p w14:paraId="7C7DE596">
      <w:pPr>
        <w:pStyle w:val="5"/>
        <w:pageBreakBefore w:val="0"/>
        <w:widowControl w:val="0"/>
        <w:numPr>
          <w:ilvl w:val="0"/>
          <w:numId w:val="2"/>
        </w:numPr>
        <w:kinsoku/>
        <w:wordWrap/>
        <w:overflowPunct/>
        <w:topLinePunct w:val="0"/>
        <w:autoSpaceDE/>
        <w:autoSpaceDN/>
        <w:bidi w:val="0"/>
        <w:adjustRightInd/>
        <w:snapToGrid/>
        <w:spacing w:before="0" w:beforeLines="0" w:after="0" w:afterLines="0" w:line="560" w:lineRule="exact"/>
        <w:ind w:left="0" w:firstLine="560" w:firstLineChars="200"/>
        <w:jc w:val="left"/>
        <w:textAlignment w:val="auto"/>
        <w:rPr>
          <w:rFonts w:hint="eastAsia" w:ascii="Times New Roman" w:hAnsi="Times New Roman" w:eastAsia="黑体" w:cs="Times New Roman"/>
          <w:b w:val="0"/>
          <w:bCs w:val="0"/>
          <w:color w:val="000000"/>
          <w:sz w:val="28"/>
          <w:szCs w:val="28"/>
          <w:lang w:val="en-US" w:eastAsia="zh-CN"/>
        </w:rPr>
      </w:pPr>
      <w:r>
        <w:rPr>
          <w:rFonts w:hint="eastAsia" w:ascii="Times New Roman" w:hAnsi="Times New Roman" w:eastAsia="黑体" w:cs="Times New Roman"/>
          <w:b w:val="0"/>
          <w:bCs w:val="0"/>
          <w:color w:val="000000"/>
          <w:sz w:val="28"/>
          <w:szCs w:val="28"/>
          <w:lang w:val="en-US" w:eastAsia="zh-CN"/>
        </w:rPr>
        <w:t>服务要求</w:t>
      </w:r>
    </w:p>
    <w:p w14:paraId="48E1189C">
      <w:pPr>
        <w:pageBreakBefore w:val="0"/>
        <w:widowControl w:val="0"/>
        <w:kinsoku/>
        <w:wordWrap/>
        <w:overflowPunct/>
        <w:topLinePunct w:val="0"/>
        <w:autoSpaceDE/>
        <w:autoSpaceDN/>
        <w:bidi w:val="0"/>
        <w:adjustRightInd/>
        <w:snapToGrid/>
        <w:spacing w:line="560" w:lineRule="exact"/>
        <w:ind w:firstLine="562" w:firstLineChars="200"/>
        <w:jc w:val="both"/>
        <w:textAlignment w:val="auto"/>
        <w:rPr>
          <w:rFonts w:hint="eastAsia" w:ascii="Times New Roman" w:hAnsi="Times New Roman" w:eastAsia="仿宋_GB2312" w:cs="仿宋_GB2312"/>
          <w:b/>
          <w:bCs/>
          <w:sz w:val="28"/>
          <w:szCs w:val="28"/>
          <w:highlight w:val="none"/>
          <w:lang w:val="zh-CN" w:eastAsia="zh-CN"/>
        </w:rPr>
      </w:pPr>
      <w:bookmarkStart w:id="0" w:name="_Toc133369265"/>
      <w:r>
        <w:rPr>
          <w:rFonts w:hint="eastAsia" w:ascii="Times New Roman" w:hAnsi="Times New Roman" w:eastAsia="仿宋_GB2312" w:cs="仿宋_GB2312"/>
          <w:b/>
          <w:bCs/>
          <w:sz w:val="28"/>
          <w:szCs w:val="28"/>
          <w:highlight w:val="none"/>
          <w:lang w:val="zh-CN" w:eastAsia="zh-CN"/>
        </w:rPr>
        <w:t>（一）整体要求</w:t>
      </w:r>
    </w:p>
    <w:p w14:paraId="7859FDF7">
      <w:pPr>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1.投标方在测评前详细描述实施人员的组成及各自职责的划分，配置有信息系统项目管理师资质或项目管理经验丰富的项目经理组织技术人员进行本次项目实施。</w:t>
      </w:r>
    </w:p>
    <w:p w14:paraId="2EC9DAA9">
      <w:pPr>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2.等保测评、商用密码测评需要的运行环境（如场地、网络环境等）由招标方提供，投标方应详细描述需要的运行环境的具体要求。</w:t>
      </w:r>
    </w:p>
    <w:p w14:paraId="593161AC">
      <w:pPr>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3.由于测评工作存在一定的风险，包括但不限于：数据丢失、配置参数丢失、网络中断、服务中断等隐患，中标方应当充分识别测评工作可能带来的风险并告知招标方，中标方应当就测评工作存在潜在风险采取必要措施进行确认后方可开展测评。</w:t>
      </w:r>
    </w:p>
    <w:p w14:paraId="6C34507A">
      <w:pPr>
        <w:pageBreakBefore w:val="0"/>
        <w:widowControl w:val="0"/>
        <w:kinsoku/>
        <w:wordWrap/>
        <w:overflowPunct/>
        <w:topLinePunct w:val="0"/>
        <w:autoSpaceDE/>
        <w:autoSpaceDN/>
        <w:bidi w:val="0"/>
        <w:adjustRightInd/>
        <w:snapToGrid/>
        <w:spacing w:line="560" w:lineRule="exact"/>
        <w:ind w:firstLine="562" w:firstLineChars="200"/>
        <w:jc w:val="both"/>
        <w:textAlignment w:val="auto"/>
        <w:rPr>
          <w:rFonts w:hint="eastAsia" w:ascii="Times New Roman" w:hAnsi="Times New Roman" w:eastAsia="仿宋_GB2312" w:cs="仿宋_GB2312"/>
          <w:b/>
          <w:bCs/>
          <w:sz w:val="28"/>
          <w:szCs w:val="28"/>
          <w:highlight w:val="none"/>
          <w:lang w:val="zh-CN" w:eastAsia="zh-CN"/>
        </w:rPr>
      </w:pPr>
      <w:r>
        <w:rPr>
          <w:rFonts w:hint="eastAsia" w:ascii="Times New Roman" w:hAnsi="Times New Roman" w:eastAsia="仿宋_GB2312" w:cs="仿宋_GB2312"/>
          <w:b/>
          <w:bCs/>
          <w:sz w:val="28"/>
          <w:szCs w:val="28"/>
          <w:highlight w:val="none"/>
          <w:lang w:val="zh-CN" w:eastAsia="zh-CN"/>
        </w:rPr>
        <w:t>（二）测评人员要求</w:t>
      </w:r>
    </w:p>
    <w:p w14:paraId="4982FDE8">
      <w:pPr>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参与此次</w:t>
      </w:r>
      <w:r>
        <w:rPr>
          <w:rFonts w:hint="eastAsia" w:ascii="Times New Roman" w:hAnsi="Times New Roman" w:eastAsia="仿宋_GB2312" w:cs="仿宋_GB2312"/>
          <w:sz w:val="28"/>
          <w:szCs w:val="28"/>
          <w:highlight w:val="none"/>
          <w:lang w:val="en-US" w:eastAsia="zh-CN"/>
        </w:rPr>
        <w:t>服务</w:t>
      </w:r>
      <w:r>
        <w:rPr>
          <w:rFonts w:hint="eastAsia" w:ascii="Times New Roman" w:hAnsi="Times New Roman" w:eastAsia="仿宋_GB2312" w:cs="仿宋_GB2312"/>
          <w:sz w:val="28"/>
          <w:szCs w:val="28"/>
          <w:highlight w:val="none"/>
          <w:lang w:val="zh-CN" w:eastAsia="zh-CN"/>
        </w:rPr>
        <w:t>招标方其测评人员应具备并符合以下要求：</w:t>
      </w:r>
      <w:r>
        <w:rPr>
          <w:rFonts w:hint="eastAsia" w:ascii="Times New Roman" w:hAnsi="Times New Roman" w:eastAsia="仿宋_GB2312" w:cs="仿宋_GB2312"/>
          <w:sz w:val="28"/>
          <w:szCs w:val="28"/>
          <w:highlight w:val="none"/>
          <w:lang w:val="en-US" w:eastAsia="zh-CN"/>
        </w:rPr>
        <w:t>参与等级保护测评服务人员</w:t>
      </w:r>
      <w:r>
        <w:rPr>
          <w:rFonts w:hint="eastAsia" w:ascii="Times New Roman" w:hAnsi="Times New Roman" w:eastAsia="仿宋_GB2312" w:cs="仿宋_GB2312"/>
          <w:sz w:val="28"/>
          <w:szCs w:val="28"/>
          <w:highlight w:val="none"/>
          <w:lang w:val="zh-CN" w:eastAsia="zh-CN"/>
        </w:rPr>
        <w:t>人数不得少于4名，其中高级测评师、中级测评师应各不少于1名，</w:t>
      </w:r>
      <w:r>
        <w:rPr>
          <w:rFonts w:hint="eastAsia" w:ascii="Times New Roman" w:hAnsi="Times New Roman" w:eastAsia="仿宋_GB2312" w:cs="仿宋_GB2312"/>
          <w:sz w:val="28"/>
          <w:szCs w:val="28"/>
          <w:highlight w:val="none"/>
          <w:lang w:val="en-US" w:eastAsia="zh-CN"/>
        </w:rPr>
        <w:t>参与</w:t>
      </w:r>
      <w:r>
        <w:rPr>
          <w:rFonts w:hint="eastAsia" w:ascii="Times New Roman" w:hAnsi="Times New Roman" w:eastAsia="仿宋_GB2312" w:cs="仿宋_GB2312"/>
          <w:sz w:val="28"/>
          <w:szCs w:val="28"/>
          <w:highlight w:val="none"/>
          <w:lang w:val="zh-CN" w:eastAsia="zh-CN"/>
        </w:rPr>
        <w:t>商用密码</w:t>
      </w:r>
      <w:r>
        <w:rPr>
          <w:rFonts w:hint="eastAsia" w:ascii="Times New Roman" w:hAnsi="Times New Roman" w:eastAsia="仿宋_GB2312" w:cs="仿宋_GB2312"/>
          <w:sz w:val="28"/>
          <w:szCs w:val="28"/>
          <w:highlight w:val="none"/>
          <w:lang w:val="en-US" w:eastAsia="zh-CN"/>
        </w:rPr>
        <w:t>密码应用性安全评估人员</w:t>
      </w:r>
      <w:r>
        <w:rPr>
          <w:rFonts w:hint="eastAsia" w:ascii="Times New Roman" w:hAnsi="Times New Roman" w:eastAsia="仿宋_GB2312" w:cs="仿宋_GB2312"/>
          <w:sz w:val="28"/>
          <w:szCs w:val="28"/>
          <w:highlight w:val="none"/>
          <w:lang w:val="zh-CN" w:eastAsia="zh-CN"/>
        </w:rPr>
        <w:t>不得少于</w:t>
      </w:r>
      <w:r>
        <w:rPr>
          <w:rFonts w:hint="eastAsia" w:ascii="Times New Roman" w:hAnsi="Times New Roman" w:eastAsia="仿宋_GB2312" w:cs="仿宋_GB2312"/>
          <w:sz w:val="28"/>
          <w:szCs w:val="28"/>
          <w:highlight w:val="none"/>
          <w:lang w:val="en-US" w:eastAsia="zh-CN"/>
        </w:rPr>
        <w:t>3</w:t>
      </w:r>
      <w:r>
        <w:rPr>
          <w:rFonts w:hint="eastAsia" w:ascii="Times New Roman" w:hAnsi="Times New Roman" w:eastAsia="仿宋_GB2312" w:cs="仿宋_GB2312"/>
          <w:sz w:val="28"/>
          <w:szCs w:val="28"/>
          <w:highlight w:val="none"/>
          <w:lang w:val="zh-CN" w:eastAsia="zh-CN"/>
        </w:rPr>
        <w:t>名，</w:t>
      </w:r>
      <w:r>
        <w:rPr>
          <w:rFonts w:hint="eastAsia" w:ascii="Times New Roman" w:hAnsi="Times New Roman" w:eastAsia="仿宋_GB2312" w:cs="仿宋_GB2312"/>
          <w:sz w:val="28"/>
          <w:szCs w:val="28"/>
          <w:highlight w:val="none"/>
          <w:lang w:val="en-US" w:eastAsia="zh-CN"/>
        </w:rPr>
        <w:t>测评人员需具备</w:t>
      </w:r>
      <w:r>
        <w:rPr>
          <w:rFonts w:hint="eastAsia" w:ascii="Times New Roman" w:hAnsi="Times New Roman" w:eastAsia="仿宋_GB2312" w:cs="仿宋_GB2312"/>
          <w:sz w:val="28"/>
          <w:szCs w:val="28"/>
          <w:highlight w:val="none"/>
          <w:lang w:val="zh-CN" w:eastAsia="zh-CN"/>
        </w:rPr>
        <w:t>商用密码应用安全性评估人员测评能力考核证书。本项目技术负责人需具备注册信息安全专业人员或网络规划设计师资质，在项目实施过程中，需保证实施项目组核心人员专职、稳定，未经招标人同意，不得随意更换。</w:t>
      </w:r>
    </w:p>
    <w:p w14:paraId="7B7A8357">
      <w:pPr>
        <w:pageBreakBefore w:val="0"/>
        <w:widowControl w:val="0"/>
        <w:kinsoku/>
        <w:wordWrap/>
        <w:overflowPunct/>
        <w:topLinePunct w:val="0"/>
        <w:autoSpaceDE/>
        <w:autoSpaceDN/>
        <w:bidi w:val="0"/>
        <w:adjustRightInd/>
        <w:snapToGrid/>
        <w:spacing w:line="560" w:lineRule="exact"/>
        <w:ind w:firstLine="562" w:firstLineChars="200"/>
        <w:jc w:val="both"/>
        <w:textAlignment w:val="auto"/>
        <w:rPr>
          <w:rFonts w:hint="eastAsia" w:ascii="Times New Roman" w:hAnsi="Times New Roman" w:eastAsia="仿宋_GB2312" w:cs="仿宋_GB2312"/>
          <w:b/>
          <w:bCs/>
          <w:sz w:val="28"/>
          <w:szCs w:val="28"/>
          <w:highlight w:val="none"/>
          <w:lang w:val="zh-CN" w:eastAsia="zh-CN"/>
        </w:rPr>
      </w:pPr>
      <w:r>
        <w:rPr>
          <w:rFonts w:hint="eastAsia" w:ascii="Times New Roman" w:hAnsi="Times New Roman" w:eastAsia="仿宋_GB2312" w:cs="仿宋_GB2312"/>
          <w:b/>
          <w:bCs/>
          <w:sz w:val="28"/>
          <w:szCs w:val="28"/>
          <w:highlight w:val="none"/>
          <w:lang w:val="zh-CN" w:eastAsia="zh-CN"/>
        </w:rPr>
        <w:t>（三）项目交付清单</w:t>
      </w:r>
    </w:p>
    <w:p w14:paraId="35118B07">
      <w:pPr>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1.中标方在项目验收前须分别提交</w:t>
      </w:r>
      <w:r>
        <w:rPr>
          <w:rFonts w:hint="default" w:ascii="Times New Roman" w:hAnsi="Times New Roman" w:eastAsia="仿宋_GB2312" w:cs="Times New Roman"/>
          <w:sz w:val="28"/>
          <w:szCs w:val="28"/>
          <w:lang w:val="en-US" w:eastAsia="zh-CN"/>
        </w:rPr>
        <w:t>东湖高新区社会治理中心信息化项目</w:t>
      </w:r>
      <w:r>
        <w:rPr>
          <w:rFonts w:hint="eastAsia" w:ascii="Times New Roman" w:hAnsi="Times New Roman" w:eastAsia="仿宋_GB2312" w:cs="仿宋_GB2312"/>
          <w:sz w:val="28"/>
          <w:szCs w:val="28"/>
          <w:highlight w:val="none"/>
          <w:lang w:val="zh-CN" w:eastAsia="zh-CN"/>
        </w:rPr>
        <w:t xml:space="preserve">等保测评服务的等级保护测评成果文档： </w:t>
      </w:r>
    </w:p>
    <w:p w14:paraId="3C3852D4">
      <w:pPr>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 xml:space="preserve">（1）《网络安全等级保护整改建议方案》 </w:t>
      </w:r>
    </w:p>
    <w:p w14:paraId="565D78A0">
      <w:pPr>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（2）《网络安全等级测评报告》</w:t>
      </w:r>
    </w:p>
    <w:p w14:paraId="69112AFF">
      <w:pPr>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 xml:space="preserve">2.中标方在项目验收前须分别提交社会治理中心信息化平台的商用密码应用安全性评估成果文档： </w:t>
      </w:r>
    </w:p>
    <w:p w14:paraId="44BC668A">
      <w:pPr>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Times New Roman" w:hAnsi="Times New Roman" w:eastAsia="仿宋_GB2312" w:cs="仿宋_GB2312"/>
          <w:sz w:val="28"/>
          <w:szCs w:val="28"/>
          <w:highlight w:val="none"/>
          <w:lang w:val="zh-CN" w:eastAsia="zh-CN"/>
        </w:rPr>
      </w:pPr>
      <w:r>
        <w:rPr>
          <w:rFonts w:hint="eastAsia" w:ascii="Times New Roman" w:hAnsi="Times New Roman" w:eastAsia="仿宋_GB2312" w:cs="仿宋_GB2312"/>
          <w:sz w:val="28"/>
          <w:szCs w:val="28"/>
          <w:highlight w:val="none"/>
          <w:lang w:val="zh-CN" w:eastAsia="zh-CN"/>
        </w:rPr>
        <w:t>（1）《密码应用方案评估报告》</w:t>
      </w:r>
    </w:p>
    <w:p w14:paraId="14842BDA">
      <w:pPr>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Times New Roman" w:hAnsi="Times New Roman" w:eastAsia="仿宋_GB2312" w:cs="仿宋_GB2312"/>
          <w:sz w:val="28"/>
          <w:szCs w:val="28"/>
          <w:highlight w:val="none"/>
          <w:lang w:val="zh-CN"/>
        </w:rPr>
      </w:pPr>
      <w:r>
        <w:rPr>
          <w:rFonts w:hint="eastAsia" w:ascii="Times New Roman" w:hAnsi="Times New Roman" w:eastAsia="仿宋_GB2312" w:cs="仿宋_GB2312"/>
          <w:sz w:val="28"/>
          <w:szCs w:val="28"/>
          <w:highlight w:val="none"/>
          <w:lang w:val="zh-CN" w:eastAsia="zh-CN"/>
        </w:rPr>
        <w:t xml:space="preserve">（2）《系统商用密码应用安全性评估报告》 </w:t>
      </w:r>
    </w:p>
    <w:p w14:paraId="50D01764">
      <w:pPr>
        <w:pStyle w:val="5"/>
        <w:pageBreakBefore w:val="0"/>
        <w:widowControl w:val="0"/>
        <w:numPr>
          <w:ilvl w:val="0"/>
          <w:numId w:val="2"/>
        </w:numPr>
        <w:kinsoku/>
        <w:wordWrap/>
        <w:overflowPunct/>
        <w:topLinePunct w:val="0"/>
        <w:autoSpaceDE/>
        <w:autoSpaceDN/>
        <w:bidi w:val="0"/>
        <w:adjustRightInd/>
        <w:snapToGrid/>
        <w:spacing w:before="0" w:beforeLines="0" w:after="0" w:afterLines="0" w:line="560" w:lineRule="exact"/>
        <w:ind w:left="0" w:firstLine="560" w:firstLineChars="200"/>
        <w:jc w:val="left"/>
        <w:textAlignment w:val="auto"/>
        <w:rPr>
          <w:rFonts w:hint="eastAsia" w:ascii="Times New Roman" w:hAnsi="Times New Roman" w:eastAsia="黑体" w:cs="Times New Roman"/>
          <w:b w:val="0"/>
          <w:bCs w:val="0"/>
          <w:color w:val="000000"/>
          <w:sz w:val="28"/>
          <w:szCs w:val="28"/>
          <w:lang w:val="zh-CN" w:eastAsia="zh-CN"/>
        </w:rPr>
      </w:pPr>
      <w:r>
        <w:rPr>
          <w:rFonts w:hint="eastAsia" w:ascii="Times New Roman" w:hAnsi="Times New Roman" w:eastAsia="黑体" w:cs="Times New Roman"/>
          <w:b w:val="0"/>
          <w:bCs w:val="0"/>
          <w:color w:val="000000"/>
          <w:sz w:val="28"/>
          <w:szCs w:val="28"/>
          <w:lang w:val="zh-CN" w:eastAsia="zh-CN"/>
        </w:rPr>
        <w:t>商务要求</w:t>
      </w:r>
      <w:bookmarkEnd w:id="0"/>
    </w:p>
    <w:p w14:paraId="0E0207DB">
      <w:pPr>
        <w:pStyle w:val="16"/>
        <w:pageBreakBefore w:val="0"/>
        <w:widowControl w:val="0"/>
        <w:numPr>
          <w:numId w:val="0"/>
        </w:numPr>
        <w:kinsoku/>
        <w:wordWrap/>
        <w:overflowPunct/>
        <w:topLinePunct w:val="0"/>
        <w:autoSpaceDE/>
        <w:autoSpaceDN/>
        <w:bidi w:val="0"/>
        <w:adjustRightInd/>
        <w:snapToGrid/>
        <w:spacing w:line="560" w:lineRule="exact"/>
        <w:ind w:left="567" w:leftChars="0"/>
        <w:textAlignment w:val="auto"/>
        <w:rPr>
          <w:rFonts w:hint="eastAsia" w:ascii="Times New Roman" w:hAnsi="Times New Roman" w:eastAsia="仿宋_GB2312" w:cs="仿宋_GB2312"/>
          <w:color w:val="000000"/>
          <w:sz w:val="28"/>
          <w:szCs w:val="28"/>
        </w:rPr>
      </w:pPr>
      <w:r>
        <w:rPr>
          <w:rFonts w:hint="eastAsia" w:ascii="Times New Roman" w:hAnsi="Times New Roman" w:eastAsia="仿宋_GB2312" w:cs="仿宋_GB2312"/>
          <w:b/>
          <w:bCs/>
          <w:color w:val="000000"/>
          <w:sz w:val="28"/>
          <w:szCs w:val="28"/>
          <w:lang w:eastAsia="zh-CN"/>
        </w:rPr>
        <w:t>（</w:t>
      </w:r>
      <w:r>
        <w:rPr>
          <w:rFonts w:hint="eastAsia" w:ascii="Times New Roman" w:hAnsi="Times New Roman" w:eastAsia="仿宋_GB2312" w:cs="仿宋_GB2312"/>
          <w:b/>
          <w:bCs/>
          <w:color w:val="000000"/>
          <w:sz w:val="28"/>
          <w:szCs w:val="28"/>
          <w:lang w:val="en-US" w:eastAsia="zh-CN"/>
        </w:rPr>
        <w:t>一</w:t>
      </w:r>
      <w:r>
        <w:rPr>
          <w:rFonts w:hint="eastAsia" w:ascii="Times New Roman" w:hAnsi="Times New Roman" w:eastAsia="仿宋_GB2312" w:cs="仿宋_GB2312"/>
          <w:b/>
          <w:bCs/>
          <w:color w:val="000000"/>
          <w:sz w:val="28"/>
          <w:szCs w:val="28"/>
          <w:lang w:eastAsia="zh-CN"/>
        </w:rPr>
        <w:t>）</w:t>
      </w:r>
      <w:r>
        <w:rPr>
          <w:rFonts w:hint="eastAsia" w:ascii="Times New Roman" w:hAnsi="Times New Roman" w:eastAsia="仿宋_GB2312" w:cs="仿宋_GB2312"/>
          <w:b/>
          <w:bCs/>
          <w:color w:val="000000"/>
          <w:sz w:val="28"/>
          <w:szCs w:val="28"/>
        </w:rPr>
        <w:t>采购预算：</w:t>
      </w:r>
      <w:r>
        <w:rPr>
          <w:rFonts w:hint="eastAsia" w:ascii="Times New Roman" w:hAnsi="Times New Roman" w:eastAsia="仿宋_GB2312" w:cs="仿宋_GB2312"/>
          <w:kern w:val="2"/>
          <w:sz w:val="28"/>
          <w:szCs w:val="28"/>
          <w:highlight w:val="none"/>
          <w:lang w:val="en-US" w:eastAsia="zh-CN" w:bidi="ar-SA"/>
        </w:rPr>
        <w:t>人民币18.00万元，超此预算价为无效标</w:t>
      </w:r>
      <w:r>
        <w:rPr>
          <w:rFonts w:hint="eastAsia" w:ascii="Times New Roman" w:hAnsi="Times New Roman" w:eastAsia="仿宋_GB2312" w:cs="仿宋_GB2312"/>
          <w:color w:val="000000"/>
          <w:sz w:val="28"/>
          <w:szCs w:val="28"/>
        </w:rPr>
        <w:t>。</w:t>
      </w:r>
    </w:p>
    <w:p w14:paraId="77B4552F">
      <w:pPr>
        <w:pStyle w:val="16"/>
        <w:pageBreakBefore w:val="0"/>
        <w:widowControl w:val="0"/>
        <w:kinsoku/>
        <w:wordWrap/>
        <w:overflowPunct/>
        <w:topLinePunct w:val="0"/>
        <w:autoSpaceDE/>
        <w:autoSpaceDN/>
        <w:bidi w:val="0"/>
        <w:adjustRightInd/>
        <w:snapToGrid/>
        <w:spacing w:line="560" w:lineRule="exact"/>
        <w:ind w:left="567" w:firstLine="0" w:firstLineChars="0"/>
        <w:textAlignment w:val="auto"/>
        <w:rPr>
          <w:rFonts w:hint="eastAsia" w:ascii="Times New Roman" w:hAnsi="Times New Roman" w:eastAsia="仿宋_GB2312" w:cs="仿宋_GB2312"/>
          <w:color w:val="000000"/>
          <w:sz w:val="28"/>
          <w:szCs w:val="28"/>
          <w:lang w:eastAsia="zh-CN"/>
        </w:rPr>
      </w:pPr>
      <w:r>
        <w:rPr>
          <w:rFonts w:hint="eastAsia" w:ascii="Times New Roman" w:hAnsi="Times New Roman" w:eastAsia="仿宋_GB2312" w:cs="仿宋_GB2312"/>
          <w:b/>
          <w:bCs/>
          <w:color w:val="000000"/>
          <w:sz w:val="28"/>
          <w:szCs w:val="28"/>
        </w:rPr>
        <w:t>（二）服务期：</w:t>
      </w:r>
      <w:r>
        <w:rPr>
          <w:rFonts w:hint="eastAsia" w:ascii="Times New Roman" w:hAnsi="Times New Roman" w:eastAsia="仿宋_GB2312" w:cs="仿宋_GB2312"/>
          <w:color w:val="000000"/>
          <w:sz w:val="28"/>
          <w:szCs w:val="28"/>
        </w:rPr>
        <w:t>自签订合同之日起至项目通过验收止</w:t>
      </w:r>
      <w:r>
        <w:rPr>
          <w:rFonts w:hint="eastAsia" w:ascii="Times New Roman" w:hAnsi="Times New Roman" w:eastAsia="仿宋_GB2312" w:cs="仿宋_GB2312"/>
          <w:color w:val="000000"/>
          <w:sz w:val="28"/>
          <w:szCs w:val="28"/>
          <w:lang w:eastAsia="zh-CN"/>
        </w:rPr>
        <w:t>。</w:t>
      </w:r>
    </w:p>
    <w:p w14:paraId="478C235E">
      <w:pPr>
        <w:pStyle w:val="16"/>
        <w:pageBreakBefore w:val="0"/>
        <w:widowControl w:val="0"/>
        <w:kinsoku/>
        <w:wordWrap/>
        <w:overflowPunct/>
        <w:topLinePunct w:val="0"/>
        <w:autoSpaceDE/>
        <w:autoSpaceDN/>
        <w:bidi w:val="0"/>
        <w:adjustRightInd/>
        <w:snapToGrid/>
        <w:spacing w:line="560" w:lineRule="exact"/>
        <w:ind w:firstLine="562"/>
        <w:textAlignment w:val="auto"/>
        <w:rPr>
          <w:rFonts w:hint="eastAsia" w:ascii="Times New Roman" w:hAnsi="Times New Roman" w:eastAsia="仿宋_GB2312" w:cs="仿宋_GB2312"/>
          <w:sz w:val="28"/>
          <w:szCs w:val="28"/>
          <w:lang w:val="zh-CN"/>
        </w:rPr>
      </w:pPr>
      <w:r>
        <w:rPr>
          <w:rFonts w:hint="eastAsia" w:ascii="Times New Roman" w:hAnsi="Times New Roman" w:eastAsia="仿宋_GB2312" w:cs="仿宋_GB2312"/>
          <w:b/>
          <w:bCs/>
          <w:color w:val="000000"/>
          <w:sz w:val="28"/>
          <w:szCs w:val="28"/>
        </w:rPr>
        <w:t>（三）付款方式：</w:t>
      </w:r>
      <w:r>
        <w:rPr>
          <w:rFonts w:hint="eastAsia" w:ascii="Times New Roman" w:hAnsi="Times New Roman" w:eastAsia="仿宋_GB2312" w:cs="仿宋_GB2312"/>
          <w:sz w:val="28"/>
          <w:szCs w:val="28"/>
        </w:rPr>
        <w:t>按合同约定。</w:t>
      </w:r>
    </w:p>
    <w:sectPr>
      <w:headerReference r:id="rId4" w:type="first"/>
      <w:footerReference r:id="rId7" w:type="first"/>
      <w:footerReference r:id="rId5" w:type="default"/>
      <w:headerReference r:id="rId3" w:type="even"/>
      <w:footerReference r:id="rId6" w:type="even"/>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A2077F5-C7A5-4FD6-B356-C6D00DAE928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9F07E207-79F2-4608-AACD-0EAF8B122B27}"/>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3" w:fontKey="{287642F7-7698-4FD5-8E59-1C450040D7F5}"/>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8129D">
    <w:pPr>
      <w:pStyle w:val="8"/>
      <w:jc w:val="center"/>
      <w:rPr>
        <w:rFonts w:hint="eastAsia" w:ascii="宋体" w:hAnsi="宋体" w:eastAsia="宋体" w:cs="宋体"/>
        <w:sz w:val="28"/>
        <w:lang w:eastAsia="zh-CN"/>
      </w:rPr>
    </w:pPr>
    <w:r>
      <w:rPr>
        <w:rFonts w:hint="eastAsia" w:ascii="宋体" w:hAnsi="宋体" w:eastAsia="宋体" w:cs="宋体"/>
        <w:sz w:val="28"/>
        <w:lang w:eastAsia="zh-CN"/>
      </w:rPr>
      <w:t xml:space="preserve">— </w:t>
    </w:r>
    <w:r>
      <w:rPr>
        <w:rFonts w:hint="eastAsia" w:ascii="宋体" w:hAnsi="宋体" w:eastAsia="宋体" w:cs="宋体"/>
        <w:sz w:val="28"/>
        <w:lang w:eastAsia="zh-CN"/>
      </w:rPr>
      <w:fldChar w:fldCharType="begin"/>
    </w:r>
    <w:r>
      <w:rPr>
        <w:rFonts w:hint="eastAsia" w:ascii="宋体" w:hAnsi="宋体" w:eastAsia="宋体" w:cs="宋体"/>
        <w:sz w:val="28"/>
        <w:lang w:eastAsia="zh-CN"/>
      </w:rPr>
      <w:instrText xml:space="preserve"> PAGE \* Arabic \* MERGEFORMAT </w:instrText>
    </w:r>
    <w:r>
      <w:rPr>
        <w:rFonts w:hint="eastAsia" w:ascii="宋体" w:hAnsi="宋体" w:eastAsia="宋体" w:cs="宋体"/>
        <w:sz w:val="28"/>
        <w:lang w:eastAsia="zh-CN"/>
      </w:rPr>
      <w:fldChar w:fldCharType="separate"/>
    </w:r>
    <w:r>
      <w:rPr>
        <w:rFonts w:hint="eastAsia" w:ascii="宋体" w:hAnsi="宋体" w:eastAsia="宋体" w:cs="宋体"/>
        <w:sz w:val="28"/>
        <w:lang w:eastAsia="zh-CN"/>
      </w:rPr>
      <w:t>1</w:t>
    </w:r>
    <w:r>
      <w:rPr>
        <w:rFonts w:hint="eastAsia" w:ascii="宋体" w:hAnsi="宋体" w:eastAsia="宋体" w:cs="宋体"/>
        <w:sz w:val="28"/>
        <w:lang w:eastAsia="zh-CN"/>
      </w:rPr>
      <w:fldChar w:fldCharType="end"/>
    </w:r>
    <w:r>
      <w:rPr>
        <w:rFonts w:hint="eastAsia" w:ascii="宋体" w:hAnsi="宋体" w:eastAsia="宋体" w:cs="宋体"/>
        <w:sz w:val="28"/>
        <w:lang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99DD8">
    <w:pPr>
      <w:pStyle w:val="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DA09F">
    <w:pPr>
      <w:pStyle w:val="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63DF5">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10330">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182658"/>
    <w:multiLevelType w:val="singleLevel"/>
    <w:tmpl w:val="2F182658"/>
    <w:lvl w:ilvl="0" w:tentative="0">
      <w:start w:val="1"/>
      <w:numFmt w:val="chineseCounting"/>
      <w:suff w:val="nothing"/>
      <w:lvlText w:val="%1、"/>
      <w:lvlJc w:val="left"/>
      <w:rPr>
        <w:rFonts w:hint="eastAsia"/>
      </w:rPr>
    </w:lvl>
  </w:abstractNum>
  <w:abstractNum w:abstractNumId="1">
    <w:nsid w:val="575B3F24"/>
    <w:multiLevelType w:val="multilevel"/>
    <w:tmpl w:val="575B3F24"/>
    <w:lvl w:ilvl="0" w:tentative="0">
      <w:start w:val="1"/>
      <w:numFmt w:val="chineseCounting"/>
      <w:pStyle w:val="4"/>
      <w:suff w:val="nothing"/>
      <w:lvlText w:val="%1、"/>
      <w:lvlJc w:val="left"/>
      <w:pPr>
        <w:ind w:left="0" w:firstLine="0"/>
      </w:pPr>
      <w:rPr>
        <w:rFonts w:hint="eastAsia"/>
      </w:rPr>
    </w:lvl>
    <w:lvl w:ilvl="1" w:tentative="0">
      <w:start w:val="1"/>
      <w:numFmt w:val="chineseCounting"/>
      <w:pStyle w:val="5"/>
      <w:suff w:val="nothing"/>
      <w:lvlText w:val="（%2）"/>
      <w:lvlJc w:val="left"/>
      <w:pPr>
        <w:ind w:left="0" w:firstLine="0"/>
      </w:pPr>
      <w:rPr>
        <w:rFonts w:hint="eastAsia" w:ascii="仿宋" w:hAnsi="仿宋" w:eastAsia="仿宋" w:cs="仿宋"/>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YzEwYmQ3ZmRlOGRkNjRmOTNkM2JiMjZlMjNkNWIifQ=="/>
  </w:docVars>
  <w:rsids>
    <w:rsidRoot w:val="0E065AE0"/>
    <w:rsid w:val="0332621A"/>
    <w:rsid w:val="044F0C47"/>
    <w:rsid w:val="06813020"/>
    <w:rsid w:val="0BF60370"/>
    <w:rsid w:val="0E065AE0"/>
    <w:rsid w:val="1FC0119D"/>
    <w:rsid w:val="26C470AD"/>
    <w:rsid w:val="32563BA4"/>
    <w:rsid w:val="35E26CF6"/>
    <w:rsid w:val="36631B1F"/>
    <w:rsid w:val="390C2146"/>
    <w:rsid w:val="39ED22C6"/>
    <w:rsid w:val="3D001F3D"/>
    <w:rsid w:val="498B7451"/>
    <w:rsid w:val="52CC32A3"/>
    <w:rsid w:val="54D06755"/>
    <w:rsid w:val="5B790309"/>
    <w:rsid w:val="60BA58A2"/>
    <w:rsid w:val="6C2C2D94"/>
    <w:rsid w:val="6CC4450B"/>
    <w:rsid w:val="77D07574"/>
    <w:rsid w:val="7B231B57"/>
    <w:rsid w:val="7B777F9E"/>
    <w:rsid w:val="F7FFDD31"/>
    <w:rsid w:val="FBF5AC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beforeLines="0" w:beforeAutospacing="0" w:after="330" w:afterLines="0" w:afterAutospacing="0" w:line="576" w:lineRule="auto"/>
      <w:outlineLvl w:val="0"/>
    </w:pPr>
    <w:rPr>
      <w:rFonts w:eastAsia="黑体" w:asciiTheme="minorAscii" w:hAnsiTheme="minorAscii"/>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仿宋"/>
      <w:b/>
      <w:sz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Date"/>
    <w:basedOn w:val="1"/>
    <w:next w:val="1"/>
    <w:unhideWhenUsed/>
    <w:qFormat/>
    <w:uiPriority w:val="0"/>
    <w:pPr>
      <w:ind w:left="100" w:leftChars="2500"/>
    </w:pPr>
  </w:style>
  <w:style w:type="paragraph" w:styleId="6">
    <w:name w:val="annotation text"/>
    <w:basedOn w:val="1"/>
    <w:qFormat/>
    <w:uiPriority w:val="0"/>
    <w:pPr>
      <w:jc w:val="left"/>
    </w:pPr>
  </w:style>
  <w:style w:type="paragraph" w:styleId="7">
    <w:name w:val="Plain Text"/>
    <w:basedOn w:val="1"/>
    <w:qFormat/>
    <w:uiPriority w:val="0"/>
    <w:rPr>
      <w:rFonts w:ascii="宋体" w:hAnsi="Courier New"/>
      <w:sz w:val="21"/>
      <w:szCs w:val="21"/>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next w:val="1"/>
    <w:autoRedefine/>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paragraph" w:customStyle="1" w:styleId="14">
    <w:name w:val="Body Text First Indent 21"/>
    <w:basedOn w:val="15"/>
    <w:qFormat/>
    <w:uiPriority w:val="0"/>
  </w:style>
  <w:style w:type="paragraph" w:customStyle="1" w:styleId="15">
    <w:name w:val="Body Text Indent1"/>
    <w:basedOn w:val="1"/>
    <w:qFormat/>
    <w:uiPriority w:val="0"/>
    <w:pPr>
      <w:spacing w:after="120"/>
      <w:ind w:left="200" w:leftChars="200"/>
    </w:pPr>
    <w:rPr>
      <w:rFonts w:eastAsia="宋体"/>
    </w:rPr>
  </w:style>
  <w:style w:type="paragraph" w:styleId="16">
    <w:name w:val="List Paragraph"/>
    <w:basedOn w:val="1"/>
    <w:qFormat/>
    <w:uiPriority w:val="34"/>
    <w:pPr>
      <w:ind w:firstLine="420" w:firstLineChars="200"/>
    </w:pPr>
  </w:style>
  <w:style w:type="paragraph" w:customStyle="1" w:styleId="17">
    <w:name w:val="段"/>
    <w:next w:val="1"/>
    <w:qFormat/>
    <w:uiPriority w:val="0"/>
    <w:pPr>
      <w:tabs>
        <w:tab w:val="left" w:pos="840"/>
      </w:tabs>
      <w:autoSpaceDE w:val="0"/>
      <w:autoSpaceDN w:val="0"/>
      <w:ind w:left="840" w:firstLine="200" w:firstLineChars="200"/>
      <w:jc w:val="both"/>
    </w:pPr>
    <w:rPr>
      <w:rFonts w:ascii="宋体" w:hAnsi="Times New Roman" w:eastAsia="宋体" w:cs="Times New Roman"/>
      <w:sz w:val="21"/>
      <w:lang w:val="en-US" w:eastAsia="zh-CN" w:bidi="ar-SA"/>
    </w:rPr>
  </w:style>
  <w:style w:type="paragraph" w:customStyle="1" w:styleId="18">
    <w:name w:val="标书正文"/>
    <w:basedOn w:val="1"/>
    <w:qFormat/>
    <w:uiPriority w:val="0"/>
    <w:pPr>
      <w:spacing w:line="360" w:lineRule="auto"/>
      <w:ind w:firstLine="200" w:firstLineChars="200"/>
      <w:jc w:val="left"/>
    </w:pPr>
    <w:rPr>
      <w:color w:val="000000"/>
      <w:szCs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3832</Words>
  <Characters>3959</Characters>
  <Lines>0</Lines>
  <Paragraphs>0</Paragraphs>
  <TotalTime>0</TotalTime>
  <ScaleCrop>false</ScaleCrop>
  <LinksUpToDate>false</LinksUpToDate>
  <CharactersWithSpaces>3975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2023-12-19T10:10:00Z</dcterms:created>
  <dc:creator>厉珧</dc:creator>
  <cp:lastModifiedBy>Z.oliver</cp:lastModifiedBy>
  <dcterms:modified xsi:type="dcterms:W3CDTF">2025-02-17T03:46:29Z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451E5539B0BB4F78ABC6DDF5B3A312B9_13</vt:lpwstr>
  </property>
  <property fmtid="{D5CDD505-2E9C-101B-9397-08002B2CF9AE}" pid="4" name="KSOTemplateDocerSaveRecord">
    <vt:lpwstr>eyJoZGlkIjoiNTgzYzExOTc5MzJjNTJkMTY3Yzk3YWZiZmEzNTJkZTgiLCJ1c2VySWQiOiIyNTI3ODYwNzQifQ==</vt:lpwstr>
  </property>
</Properties>
</file>