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A1E7A">
      <w:pPr>
        <w:pageBreakBefore w:val="0"/>
        <w:kinsoku/>
        <w:overflowPunct/>
        <w:topLinePunct w:val="0"/>
        <w:bidi w:val="0"/>
        <w:snapToGrid/>
        <w:spacing w:line="540" w:lineRule="exact"/>
        <w:jc w:val="center"/>
        <w:outlineLvl w:val="0"/>
        <w:rPr>
          <w:rFonts w:hint="eastAsia" w:ascii="Times New Roman" w:hAnsi="Times New Roman" w:eastAsia="方正小标宋简体" w:cs="方正小标宋简体"/>
          <w:bCs/>
          <w:sz w:val="36"/>
          <w:szCs w:val="36"/>
        </w:rPr>
      </w:pPr>
      <w:r>
        <w:rPr>
          <w:rFonts w:hint="eastAsia" w:ascii="Times New Roman" w:hAnsi="Times New Roman" w:eastAsia="方正小标宋简体" w:cs="方正小标宋简体"/>
          <w:bCs/>
          <w:sz w:val="36"/>
          <w:szCs w:val="36"/>
        </w:rPr>
        <w:t>东湖高新区社会治理中心信息化项目</w:t>
      </w:r>
    </w:p>
    <w:p w14:paraId="0487BA19">
      <w:pPr>
        <w:pageBreakBefore w:val="0"/>
        <w:kinsoku/>
        <w:overflowPunct/>
        <w:topLinePunct w:val="0"/>
        <w:bidi w:val="0"/>
        <w:snapToGrid/>
        <w:spacing w:line="540" w:lineRule="exact"/>
        <w:jc w:val="center"/>
        <w:outlineLvl w:val="0"/>
        <w:rPr>
          <w:rFonts w:hint="eastAsia" w:ascii="Times New Roman" w:hAnsi="Times New Roman" w:eastAsia="方正小标宋简体" w:cs="方正小标宋简体"/>
          <w:bCs/>
          <w:sz w:val="36"/>
          <w:szCs w:val="36"/>
        </w:rPr>
      </w:pPr>
      <w:r>
        <w:rPr>
          <w:rFonts w:hint="eastAsia" w:ascii="Times New Roman" w:hAnsi="Times New Roman" w:eastAsia="方正小标宋简体" w:cs="方正小标宋简体"/>
          <w:bCs/>
          <w:sz w:val="36"/>
          <w:szCs w:val="36"/>
        </w:rPr>
        <w:t>第三方软件测试服务采购需求</w:t>
      </w:r>
    </w:p>
    <w:p w14:paraId="2B6C5DF2">
      <w:pPr>
        <w:spacing w:line="540" w:lineRule="exact"/>
        <w:rPr>
          <w:rFonts w:ascii="Times New Roman" w:hAnsi="Times New Roman" w:eastAsia="华文仿宋"/>
        </w:rPr>
      </w:pPr>
    </w:p>
    <w:p w14:paraId="71427E50">
      <w:pPr>
        <w:pStyle w:val="2"/>
        <w:pageBreakBefore w:val="0"/>
        <w:numPr>
          <w:ilvl w:val="0"/>
          <w:numId w:val="2"/>
        </w:numPr>
        <w:kinsoku/>
        <w:overflowPunct/>
        <w:topLinePunct w:val="0"/>
        <w:bidi w:val="0"/>
        <w:snapToGrid/>
        <w:spacing w:before="0" w:after="0" w:line="540" w:lineRule="exact"/>
        <w:ind w:firstLine="560" w:firstLineChars="200"/>
        <w:jc w:val="left"/>
        <w:rPr>
          <w:rFonts w:ascii="Times New Roman" w:hAnsi="Times New Roman" w:eastAsia="黑体" w:cs="Times New Roman"/>
          <w:b w:val="0"/>
          <w:color w:val="000000"/>
          <w:sz w:val="28"/>
          <w:szCs w:val="28"/>
        </w:rPr>
      </w:pPr>
      <w:r>
        <w:rPr>
          <w:rFonts w:ascii="Times New Roman" w:hAnsi="Times New Roman" w:eastAsia="黑体" w:cs="Times New Roman"/>
          <w:b w:val="0"/>
          <w:color w:val="000000"/>
          <w:sz w:val="28"/>
          <w:szCs w:val="28"/>
        </w:rPr>
        <w:t>项目基本情况</w:t>
      </w:r>
    </w:p>
    <w:p w14:paraId="1373FED9">
      <w:pPr>
        <w:pageBreakBefore w:val="0"/>
        <w:kinsoku/>
        <w:overflowPunct/>
        <w:topLinePunct w:val="0"/>
        <w:bidi w:val="0"/>
        <w:snapToGrid/>
        <w:spacing w:line="540" w:lineRule="exact"/>
        <w:ind w:firstLine="560" w:firstLineChars="200"/>
        <w:jc w:val="left"/>
        <w:rPr>
          <w:rFonts w:ascii="Times New Roman" w:hAnsi="Times New Roman" w:eastAsia="仿宋_GB2312" w:cs="Times New Roman"/>
          <w:sz w:val="28"/>
          <w:szCs w:val="28"/>
        </w:rPr>
      </w:pPr>
      <w:r>
        <w:rPr>
          <w:rFonts w:ascii="Times New Roman" w:hAnsi="Times New Roman" w:eastAsia="仿宋_GB2312" w:cs="Times New Roman"/>
          <w:sz w:val="28"/>
          <w:szCs w:val="28"/>
        </w:rPr>
        <w:t>1.项目编号：</w:t>
      </w:r>
    </w:p>
    <w:p w14:paraId="0D955703">
      <w:pPr>
        <w:pageBreakBefore w:val="0"/>
        <w:kinsoku/>
        <w:overflowPunct/>
        <w:topLinePunct w:val="0"/>
        <w:bidi w:val="0"/>
        <w:snapToGrid/>
        <w:spacing w:line="540" w:lineRule="exact"/>
        <w:ind w:firstLine="560" w:firstLineChars="200"/>
        <w:jc w:val="left"/>
        <w:rPr>
          <w:rFonts w:ascii="Times New Roman" w:hAnsi="Times New Roman" w:eastAsia="仿宋_GB2312" w:cs="Times New Roman"/>
          <w:sz w:val="28"/>
          <w:szCs w:val="28"/>
        </w:rPr>
      </w:pPr>
      <w:r>
        <w:rPr>
          <w:rFonts w:ascii="Times New Roman" w:hAnsi="Times New Roman" w:eastAsia="仿宋_GB2312" w:cs="Times New Roman"/>
          <w:sz w:val="28"/>
          <w:szCs w:val="28"/>
        </w:rPr>
        <w:t>2.采购计划备案号：</w:t>
      </w:r>
    </w:p>
    <w:p w14:paraId="5F317C47">
      <w:pPr>
        <w:pageBreakBefore w:val="0"/>
        <w:kinsoku/>
        <w:overflowPunct/>
        <w:topLinePunct w:val="0"/>
        <w:bidi w:val="0"/>
        <w:snapToGrid/>
        <w:spacing w:line="540" w:lineRule="exact"/>
        <w:ind w:firstLine="560" w:firstLineChars="200"/>
        <w:jc w:val="left"/>
        <w:rPr>
          <w:rFonts w:ascii="Times New Roman" w:hAnsi="Times New Roman" w:eastAsia="仿宋_GB2312" w:cs="Times New Roman"/>
          <w:sz w:val="28"/>
          <w:szCs w:val="28"/>
        </w:rPr>
      </w:pPr>
      <w:r>
        <w:rPr>
          <w:rFonts w:ascii="Times New Roman" w:hAnsi="Times New Roman" w:eastAsia="仿宋_GB2312" w:cs="Times New Roman"/>
          <w:sz w:val="28"/>
          <w:szCs w:val="28"/>
        </w:rPr>
        <w:t>3.项目名称：东湖高新区社会治理中心信息化项目</w:t>
      </w:r>
      <w:r>
        <w:rPr>
          <w:rFonts w:hint="eastAsia" w:ascii="Times New Roman" w:hAnsi="Times New Roman" w:eastAsia="仿宋_GB2312" w:cs="Times New Roman"/>
          <w:sz w:val="28"/>
          <w:szCs w:val="28"/>
        </w:rPr>
        <w:t>第三方软件测试</w:t>
      </w:r>
      <w:r>
        <w:rPr>
          <w:rFonts w:ascii="Times New Roman" w:hAnsi="Times New Roman" w:eastAsia="仿宋_GB2312" w:cs="Times New Roman"/>
          <w:sz w:val="28"/>
          <w:szCs w:val="28"/>
        </w:rPr>
        <w:t>服务</w:t>
      </w:r>
    </w:p>
    <w:p w14:paraId="38C96685">
      <w:pPr>
        <w:pageBreakBefore w:val="0"/>
        <w:kinsoku/>
        <w:overflowPunct/>
        <w:topLinePunct w:val="0"/>
        <w:bidi w:val="0"/>
        <w:snapToGrid/>
        <w:spacing w:line="540" w:lineRule="exact"/>
        <w:ind w:firstLine="560" w:firstLineChars="200"/>
        <w:jc w:val="left"/>
        <w:rPr>
          <w:rFonts w:ascii="Times New Roman" w:hAnsi="Times New Roman" w:eastAsia="仿宋_GB2312" w:cs="Times New Roman"/>
          <w:sz w:val="28"/>
          <w:szCs w:val="28"/>
        </w:rPr>
      </w:pPr>
      <w:r>
        <w:rPr>
          <w:rFonts w:ascii="Times New Roman" w:hAnsi="Times New Roman" w:eastAsia="仿宋_GB2312" w:cs="Times New Roman"/>
          <w:sz w:val="28"/>
          <w:szCs w:val="28"/>
        </w:rPr>
        <w:t>4.采购方式：</w:t>
      </w:r>
      <w:r>
        <w:rPr>
          <w:rFonts w:hint="eastAsia" w:ascii="Times New Roman" w:hAnsi="Times New Roman" w:eastAsia="仿宋_GB2312" w:cs="Times New Roman"/>
          <w:sz w:val="28"/>
          <w:szCs w:val="28"/>
        </w:rPr>
        <w:t>邀请</w:t>
      </w:r>
      <w:r>
        <w:rPr>
          <w:rFonts w:ascii="Times New Roman" w:hAnsi="Times New Roman" w:eastAsia="仿宋_GB2312" w:cs="Times New Roman"/>
          <w:sz w:val="28"/>
          <w:szCs w:val="28"/>
        </w:rPr>
        <w:t>竞价</w:t>
      </w:r>
    </w:p>
    <w:p w14:paraId="3EE88843">
      <w:pPr>
        <w:pageBreakBefore w:val="0"/>
        <w:kinsoku/>
        <w:overflowPunct/>
        <w:topLinePunct w:val="0"/>
        <w:bidi w:val="0"/>
        <w:snapToGrid/>
        <w:spacing w:line="540" w:lineRule="exact"/>
        <w:ind w:firstLine="560" w:firstLineChars="200"/>
        <w:jc w:val="left"/>
        <w:rPr>
          <w:rFonts w:ascii="Times New Roman" w:hAnsi="Times New Roman" w:eastAsia="仿宋_GB2312" w:cs="Times New Roman"/>
          <w:sz w:val="28"/>
          <w:szCs w:val="28"/>
        </w:rPr>
      </w:pPr>
      <w:r>
        <w:rPr>
          <w:rFonts w:ascii="Times New Roman" w:hAnsi="Times New Roman" w:eastAsia="仿宋_GB2312" w:cs="Times New Roman"/>
          <w:sz w:val="28"/>
          <w:szCs w:val="28"/>
        </w:rPr>
        <w:t>5.预算金额：</w:t>
      </w:r>
      <w:r>
        <w:rPr>
          <w:rFonts w:hint="eastAsia" w:ascii="Times New Roman" w:hAnsi="Times New Roman" w:eastAsia="仿宋_GB2312" w:cs="Times New Roman"/>
          <w:sz w:val="28"/>
          <w:szCs w:val="28"/>
        </w:rPr>
        <w:t>22.64</w:t>
      </w:r>
      <w:r>
        <w:rPr>
          <w:rFonts w:ascii="Times New Roman" w:hAnsi="Times New Roman" w:eastAsia="仿宋_GB2312" w:cs="Times New Roman"/>
          <w:sz w:val="28"/>
          <w:szCs w:val="28"/>
        </w:rPr>
        <w:t>万元</w:t>
      </w:r>
    </w:p>
    <w:p w14:paraId="21C0FC1D">
      <w:pPr>
        <w:pageBreakBefore w:val="0"/>
        <w:kinsoku/>
        <w:overflowPunct/>
        <w:topLinePunct w:val="0"/>
        <w:bidi w:val="0"/>
        <w:snapToGrid/>
        <w:spacing w:line="540" w:lineRule="exact"/>
        <w:ind w:firstLine="560" w:firstLineChars="200"/>
        <w:jc w:val="left"/>
        <w:rPr>
          <w:rFonts w:ascii="Times New Roman" w:hAnsi="Times New Roman" w:eastAsia="仿宋_GB2312" w:cs="Times New Roman"/>
          <w:sz w:val="28"/>
          <w:szCs w:val="28"/>
        </w:rPr>
      </w:pPr>
      <w:r>
        <w:rPr>
          <w:rFonts w:ascii="Times New Roman" w:hAnsi="Times New Roman" w:eastAsia="仿宋_GB2312" w:cs="Times New Roman"/>
          <w:sz w:val="28"/>
          <w:szCs w:val="28"/>
        </w:rPr>
        <w:t>6.最高限价：</w:t>
      </w:r>
      <w:r>
        <w:rPr>
          <w:rFonts w:hint="eastAsia" w:ascii="Times New Roman" w:hAnsi="Times New Roman" w:eastAsia="仿宋_GB2312" w:cs="Times New Roman"/>
          <w:sz w:val="28"/>
          <w:szCs w:val="28"/>
        </w:rPr>
        <w:t>22.64</w:t>
      </w:r>
      <w:r>
        <w:rPr>
          <w:rFonts w:ascii="Times New Roman" w:hAnsi="Times New Roman" w:eastAsia="仿宋_GB2312" w:cs="Times New Roman"/>
          <w:sz w:val="28"/>
          <w:szCs w:val="28"/>
        </w:rPr>
        <w:t>万元</w:t>
      </w:r>
    </w:p>
    <w:p w14:paraId="0DA2D854">
      <w:pPr>
        <w:pageBreakBefore w:val="0"/>
        <w:kinsoku/>
        <w:overflowPunct/>
        <w:topLinePunct w:val="0"/>
        <w:bidi w:val="0"/>
        <w:snapToGrid/>
        <w:spacing w:line="540" w:lineRule="exact"/>
        <w:ind w:firstLine="560" w:firstLineChars="200"/>
        <w:jc w:val="left"/>
        <w:rPr>
          <w:rFonts w:ascii="Times New Roman" w:hAnsi="Times New Roman" w:eastAsia="仿宋_GB2312" w:cs="Times New Roman"/>
          <w:sz w:val="28"/>
          <w:szCs w:val="28"/>
        </w:rPr>
      </w:pPr>
      <w:r>
        <w:rPr>
          <w:rFonts w:ascii="Times New Roman" w:hAnsi="Times New Roman" w:eastAsia="仿宋_GB2312" w:cs="Times New Roman"/>
          <w:sz w:val="28"/>
          <w:szCs w:val="28"/>
        </w:rPr>
        <w:t>7.采购需求：供应商需对“东湖高新区社会治理中心信息化项目”软件部分进行第三方软件测试。在东湖高新区社会治理中心信息化项目具备测试条件后，依据GB/T25000.51-2016《系统与软件工程系统与软件质量要求与评价（SQuaRE）第51部分：就绪可用软件产品（RUSP）的质量要求和测试细则》规范对该项目进行软件测评，并出具公正权威的CMA</w:t>
      </w:r>
      <w:r>
        <w:rPr>
          <w:rFonts w:hint="eastAsia" w:ascii="Times New Roman" w:hAnsi="Times New Roman" w:eastAsia="仿宋_GB2312" w:cs="Times New Roman"/>
          <w:sz w:val="28"/>
          <w:szCs w:val="28"/>
        </w:rPr>
        <w:t>、CNAS</w:t>
      </w:r>
      <w:r>
        <w:rPr>
          <w:rFonts w:ascii="Times New Roman" w:hAnsi="Times New Roman" w:eastAsia="仿宋_GB2312" w:cs="Times New Roman"/>
          <w:sz w:val="28"/>
          <w:szCs w:val="28"/>
        </w:rPr>
        <w:t>检测报告。</w:t>
      </w:r>
    </w:p>
    <w:p w14:paraId="666E838B">
      <w:pPr>
        <w:pageBreakBefore w:val="0"/>
        <w:kinsoku/>
        <w:overflowPunct/>
        <w:topLinePunct w:val="0"/>
        <w:bidi w:val="0"/>
        <w:snapToGrid/>
        <w:spacing w:line="540" w:lineRule="exact"/>
        <w:ind w:firstLine="560" w:firstLineChars="200"/>
        <w:jc w:val="left"/>
        <w:rPr>
          <w:rFonts w:ascii="Times New Roman" w:hAnsi="Times New Roman" w:eastAsia="仿宋_GB2312" w:cs="Times New Roman"/>
          <w:sz w:val="28"/>
          <w:szCs w:val="28"/>
        </w:rPr>
      </w:pPr>
      <w:r>
        <w:rPr>
          <w:rFonts w:ascii="Times New Roman" w:hAnsi="Times New Roman" w:eastAsia="仿宋_GB2312" w:cs="Times New Roman"/>
          <w:sz w:val="28"/>
          <w:szCs w:val="28"/>
        </w:rPr>
        <w:t>8.合同履行期限：</w:t>
      </w:r>
      <w:r>
        <w:rPr>
          <w:rFonts w:hint="eastAsia" w:ascii="Times New Roman" w:hAnsi="Times New Roman" w:eastAsia="仿宋_GB2312" w:cs="Times New Roman"/>
          <w:sz w:val="28"/>
          <w:szCs w:val="28"/>
        </w:rPr>
        <w:t>在项目系统试运行阶段，完成整体测试工作</w:t>
      </w:r>
      <w:r>
        <w:rPr>
          <w:rFonts w:ascii="Times New Roman" w:hAnsi="Times New Roman" w:eastAsia="仿宋_GB2312" w:cs="Times New Roman"/>
          <w:sz w:val="28"/>
          <w:szCs w:val="28"/>
          <w:lang w:val="zh-CN"/>
        </w:rPr>
        <w:t>（</w:t>
      </w:r>
      <w:r>
        <w:rPr>
          <w:rFonts w:ascii="Times New Roman" w:hAnsi="Times New Roman" w:eastAsia="仿宋_GB2312" w:cs="Times New Roman"/>
          <w:sz w:val="28"/>
          <w:szCs w:val="28"/>
        </w:rPr>
        <w:t>以项目实际工期为准</w:t>
      </w:r>
      <w:r>
        <w:rPr>
          <w:rFonts w:ascii="Times New Roman" w:hAnsi="Times New Roman" w:eastAsia="仿宋_GB2312" w:cs="Times New Roman"/>
          <w:sz w:val="28"/>
          <w:szCs w:val="28"/>
          <w:lang w:val="zh-CN"/>
        </w:rPr>
        <w:t>）</w:t>
      </w:r>
      <w:r>
        <w:rPr>
          <w:rFonts w:ascii="Times New Roman" w:hAnsi="Times New Roman" w:eastAsia="仿宋_GB2312" w:cs="Times New Roman"/>
          <w:sz w:val="28"/>
          <w:szCs w:val="28"/>
        </w:rPr>
        <w:t>。</w:t>
      </w:r>
    </w:p>
    <w:p w14:paraId="4CF9DD3D">
      <w:pPr>
        <w:pageBreakBefore w:val="0"/>
        <w:kinsoku/>
        <w:overflowPunct/>
        <w:topLinePunct w:val="0"/>
        <w:bidi w:val="0"/>
        <w:snapToGrid/>
        <w:spacing w:line="540" w:lineRule="exact"/>
        <w:ind w:firstLine="560" w:firstLineChars="200"/>
        <w:jc w:val="left"/>
        <w:rPr>
          <w:rFonts w:ascii="Times New Roman" w:hAnsi="Times New Roman" w:eastAsia="仿宋_GB2312" w:cs="Times New Roman"/>
          <w:sz w:val="28"/>
          <w:szCs w:val="28"/>
        </w:rPr>
      </w:pPr>
      <w:r>
        <w:rPr>
          <w:rFonts w:ascii="Times New Roman" w:hAnsi="Times New Roman" w:eastAsia="仿宋_GB2312" w:cs="Times New Roman"/>
          <w:sz w:val="28"/>
          <w:szCs w:val="28"/>
        </w:rPr>
        <w:t>9.是否专门面向中小企业：否。</w:t>
      </w:r>
    </w:p>
    <w:p w14:paraId="48ACC948">
      <w:pPr>
        <w:pStyle w:val="2"/>
        <w:numPr>
          <w:ilvl w:val="0"/>
          <w:numId w:val="2"/>
        </w:numPr>
        <w:spacing w:before="0" w:after="0" w:line="540" w:lineRule="exact"/>
        <w:ind w:firstLine="560" w:firstLineChars="200"/>
        <w:jc w:val="left"/>
        <w:rPr>
          <w:rFonts w:hint="eastAsia" w:ascii="Times New Roman" w:hAnsi="Times New Roman" w:eastAsia="黑体" w:cs="黑体"/>
          <w:b w:val="0"/>
          <w:color w:val="000000"/>
          <w:sz w:val="28"/>
          <w:szCs w:val="28"/>
        </w:rPr>
      </w:pPr>
      <w:r>
        <w:rPr>
          <w:rFonts w:hint="eastAsia" w:ascii="Times New Roman" w:hAnsi="Times New Roman" w:eastAsia="黑体" w:cs="黑体"/>
          <w:b w:val="0"/>
          <w:color w:val="000000"/>
          <w:sz w:val="28"/>
          <w:szCs w:val="28"/>
        </w:rPr>
        <w:t>申请人的资格要求</w:t>
      </w:r>
    </w:p>
    <w:p w14:paraId="47FC0F84">
      <w:pPr>
        <w:spacing w:line="540" w:lineRule="exact"/>
        <w:ind w:firstLine="560" w:firstLineChars="200"/>
        <w:jc w:val="left"/>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1.满足《中华人民共和国政府采购法》第二十二条规定，即：</w:t>
      </w:r>
    </w:p>
    <w:p w14:paraId="48210AA9">
      <w:pPr>
        <w:spacing w:line="540" w:lineRule="exact"/>
        <w:ind w:firstLine="560" w:firstLineChars="200"/>
        <w:jc w:val="left"/>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（1）具有独立承担民事责任的能力；</w:t>
      </w:r>
    </w:p>
    <w:p w14:paraId="35E67C5A">
      <w:pPr>
        <w:spacing w:line="540" w:lineRule="exact"/>
        <w:ind w:firstLine="560" w:firstLineChars="200"/>
        <w:jc w:val="left"/>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（2）具有良好的商业信誉和健全的财务会计制度；</w:t>
      </w:r>
    </w:p>
    <w:p w14:paraId="793A9A76">
      <w:pPr>
        <w:spacing w:line="540" w:lineRule="exact"/>
        <w:ind w:firstLine="560" w:firstLineChars="200"/>
        <w:jc w:val="left"/>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（3）具有履行合同所必需的设备和专业技术能力；</w:t>
      </w:r>
    </w:p>
    <w:p w14:paraId="312E95E5">
      <w:pPr>
        <w:spacing w:line="540" w:lineRule="exact"/>
        <w:ind w:firstLine="560" w:firstLineChars="200"/>
        <w:jc w:val="left"/>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（4）有依法缴纳税收和社会保障资金的良好记录；</w:t>
      </w:r>
    </w:p>
    <w:p w14:paraId="7E9F1CAD">
      <w:pPr>
        <w:spacing w:line="540" w:lineRule="exact"/>
        <w:ind w:firstLine="560" w:firstLineChars="200"/>
        <w:jc w:val="left"/>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（5）参加政府采购活动前三年内，在经营活动中没有重大违法记录；</w:t>
      </w:r>
    </w:p>
    <w:p w14:paraId="392D64A1">
      <w:pPr>
        <w:spacing w:line="540" w:lineRule="exact"/>
        <w:ind w:firstLine="560" w:firstLineChars="200"/>
        <w:jc w:val="left"/>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（6）法律、行政法规规定的其他条件。</w:t>
      </w:r>
    </w:p>
    <w:p w14:paraId="3371BA1C">
      <w:pPr>
        <w:spacing w:line="540" w:lineRule="exact"/>
        <w:ind w:firstLine="560" w:firstLineChars="200"/>
        <w:jc w:val="left"/>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2.单位负责人为同一人或者存在直接控股、管理关系的不同供应商，不得参加本项目同一合同项下的政府采购活动。</w:t>
      </w:r>
    </w:p>
    <w:p w14:paraId="7C4A5228">
      <w:pPr>
        <w:spacing w:line="540" w:lineRule="exact"/>
        <w:ind w:firstLine="560" w:firstLineChars="200"/>
        <w:jc w:val="left"/>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3.为本采购项目提供整体设计、规范编制或者监理、检测等服务的，不得再参加本项目的其他招标采购活动。</w:t>
      </w:r>
    </w:p>
    <w:p w14:paraId="006EEDF4">
      <w:pPr>
        <w:spacing w:line="540" w:lineRule="exact"/>
        <w:ind w:firstLine="560" w:firstLineChars="200"/>
        <w:jc w:val="left"/>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4.未被列入失信被执行人、重大税收违法案件当事人名单，未被列入政府采购严重违法失信行为记录名单。</w:t>
      </w:r>
    </w:p>
    <w:p w14:paraId="5D93B01B">
      <w:pPr>
        <w:spacing w:line="540" w:lineRule="exact"/>
        <w:ind w:firstLine="560" w:firstLineChars="200"/>
        <w:jc w:val="left"/>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5.落实政府采购政策需满足的资格要求：无。</w:t>
      </w:r>
    </w:p>
    <w:p w14:paraId="25B03170">
      <w:pPr>
        <w:spacing w:line="540" w:lineRule="exact"/>
        <w:ind w:firstLine="560" w:firstLineChars="200"/>
        <w:jc w:val="left"/>
        <w:rPr>
          <w:rFonts w:ascii="Times New Roman" w:hAnsi="Times New Roman" w:eastAsia="华文仿宋" w:cs="Times New Roman"/>
          <w:sz w:val="28"/>
          <w:szCs w:val="28"/>
        </w:rPr>
      </w:pPr>
      <w:r>
        <w:rPr>
          <w:rFonts w:hint="eastAsia" w:ascii="Times New Roman" w:hAnsi="Times New Roman" w:eastAsia="仿宋_GB2312" w:cs="仿宋_GB2312"/>
          <w:sz w:val="28"/>
          <w:szCs w:val="28"/>
        </w:rPr>
        <w:t>6.本项目的特定资格要求：无。</w:t>
      </w:r>
    </w:p>
    <w:p w14:paraId="777F1E91">
      <w:pPr>
        <w:pStyle w:val="2"/>
        <w:numPr>
          <w:ilvl w:val="0"/>
          <w:numId w:val="2"/>
        </w:numPr>
        <w:spacing w:before="0" w:after="0" w:line="540" w:lineRule="exact"/>
        <w:ind w:firstLine="560" w:firstLineChars="200"/>
        <w:jc w:val="left"/>
        <w:rPr>
          <w:rFonts w:hint="eastAsia" w:ascii="Times New Roman" w:hAnsi="Times New Roman" w:eastAsia="黑体" w:cs="黑体"/>
          <w:b w:val="0"/>
          <w:color w:val="000000"/>
          <w:sz w:val="28"/>
          <w:szCs w:val="28"/>
        </w:rPr>
      </w:pPr>
      <w:r>
        <w:rPr>
          <w:rFonts w:hint="eastAsia" w:ascii="Times New Roman" w:hAnsi="Times New Roman" w:eastAsia="黑体" w:cs="黑体"/>
          <w:b w:val="0"/>
          <w:color w:val="000000"/>
          <w:sz w:val="28"/>
          <w:szCs w:val="28"/>
        </w:rPr>
        <w:t>项目概况</w:t>
      </w:r>
    </w:p>
    <w:p w14:paraId="1DEAB4F2">
      <w:pPr>
        <w:pStyle w:val="2"/>
        <w:spacing w:before="0" w:after="0" w:line="540" w:lineRule="exact"/>
        <w:ind w:firstLine="562" w:firstLineChars="200"/>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项目背景</w:t>
      </w:r>
    </w:p>
    <w:p w14:paraId="034797A2">
      <w:pPr>
        <w:wordWrap w:val="0"/>
        <w:spacing w:line="540" w:lineRule="exact"/>
        <w:ind w:firstLine="560" w:firstLineChars="200"/>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中共中央办公厅国务院办公厅《关于着力推进信访工作法治化的意见》（厅字〔2024〕24号），中共湖北省委平安湖北建设领导小组《关于进一步加强社会治安综合治理中心规范化建设的意见》（鄂平安组〔2022〕6号），湖北省信访工作联席会议办公室关于《县级社会矛盾纠纷调处中心“一站式、一条龙、一次性”依法分类受理办理工作指引》，市委平安武汉建设领导小组《关于深化矛盾纠纷多元化解的工作方案》（武平安组〔2023〕4号）均提出要求“强化支撑保障。加快信访信息系统建设联通、功能优化和深度应用，统筹利用相关信息平台，实现对矛盾纠纷情况的全量掌握，促进上下贯通、左右协同。”“打通政法单位、信访部门、行政机关、乡镇（街道）矛盾纠纷化解数据，推动数据信息贯通共享、集成共用，提升一站式化解矛盾纠纷智能化水平”。2024年11月22日，中央政法委办公厅印发《关于加强社会治安综合治理中心规范化建设的意见》，要求“各级综治中心要加强信息化建设，汇聚矛盾纠纷和社会治安数据，实现业务在线协同，确保数据安全。”“综治中心对群众诉求的受理、办理情况要全程跟踪、及时督办，确保群众的每一项诉求都有人办理、群众的每一项诉求都依法推进。”</w:t>
      </w:r>
    </w:p>
    <w:p w14:paraId="455D11DD">
      <w:pPr>
        <w:wordWrap w:val="0"/>
        <w:spacing w:line="540" w:lineRule="exact"/>
        <w:ind w:firstLine="560" w:firstLineChars="200"/>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2024年8月28日第18次党工委会，11月30日第15次常务会，分别听取并原则同意东湖高新区社会治理中心建设有关情况的汇报，审定项目名称，要求加快东湖高新区社会治理中心建设，探索构建“功能完善、数据共享”的社会治理服务平台，形成社会治理工作合力，打造新时代“枫桥经验”光谷样板，提升基层社会治理效能。期间，委领导多次调度项目进展，针对项目业务需求、方案设计，亲自打磨、指导。</w:t>
      </w:r>
    </w:p>
    <w:p w14:paraId="21B46FC6">
      <w:pPr>
        <w:wordWrap w:val="0"/>
        <w:spacing w:line="540" w:lineRule="exact"/>
        <w:ind w:firstLine="560" w:firstLineChars="200"/>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近年来，全区矛盾纠纷总量持续攀升，但群众反映诉求渠道较为分散，12345市民热线、阳光信访、线下窗口等多渠道缺乏整合，群众“多头跑”、部门“多头受理”的现象普遍存在。同时，化解力量难以形成合力，人民调解、行政调解、司法调解等多元化解力量信息不互通、资源不共享。</w:t>
      </w:r>
    </w:p>
    <w:p w14:paraId="37FA82EB">
      <w:pPr>
        <w:wordWrap w:val="0"/>
        <w:spacing w:line="540" w:lineRule="exact"/>
        <w:ind w:firstLine="560" w:firstLineChars="200"/>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数据资源分散，态势研判能力不足。信访、市民热线、人社、法院等各部门、各领域矛盾纠纷数据分散割裂；数据挖掘程度不高，对全区矛盾纠纷态势的把握与研判不足，严重影响预警及精准施策效果。</w:t>
      </w:r>
    </w:p>
    <w:p w14:paraId="670A410D">
      <w:pPr>
        <w:pStyle w:val="2"/>
        <w:spacing w:before="0" w:after="0" w:line="540" w:lineRule="exact"/>
        <w:ind w:firstLine="562" w:firstLineChars="200"/>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项目目标</w:t>
      </w:r>
    </w:p>
    <w:p w14:paraId="75AE9BED">
      <w:pPr>
        <w:wordWrap w:val="0"/>
        <w:spacing w:line="540" w:lineRule="exact"/>
        <w:ind w:firstLine="560" w:firstLineChars="200"/>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项目以构建全区矛盾纠纷多元化解“一站式”服务平台为目标，坚持和发展新时代“枫桥经验”，建设区、街、社区（村）三级互联互通、信息共享、业务协同的社会治理信息化平台。整合政法、信访、行政机关等多源数据，实现全区矛盾纠纷数据全量掌握，推动跨部门数据共享和业务协同，促进上下贯通、左右协同。打造集矛盾纠纷多元化解、社会风险监测预警、基层社会治理等功能于一体的“智慧枢纽”，实现信访问题和矛盾纠纷事件的统一受理、统一办理、统一督办，实现区内同一社会治理事件“只办一次”，提升社会矛盾纠纷预防化解能力和社会治理效能。预期实现信访和矛盾纠纷数据电子化记录率超过90%，为数据驱动决策奠定基础。同时，借助大数据模型技术，实现社会治理事件智能分拨准确率超90%，有效缩短事件办理时长，群众对社会治理满意度提升至80%以上，人民群众的获得感、幸福感和安全感显著增强。</w:t>
      </w:r>
    </w:p>
    <w:p w14:paraId="2519EB44">
      <w:pPr>
        <w:pStyle w:val="2"/>
        <w:spacing w:before="0" w:after="0" w:line="540" w:lineRule="exact"/>
        <w:ind w:firstLine="562" w:firstLineChars="200"/>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项目建设内容</w:t>
      </w:r>
    </w:p>
    <w:p w14:paraId="337B510E">
      <w:pPr>
        <w:wordWrap w:val="0"/>
        <w:spacing w:line="540" w:lineRule="exact"/>
        <w:ind w:firstLine="560" w:firstLineChars="200"/>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东湖高新区社会治理中心信息化项目建设内容为建设东湖高新区的“一站式”矛盾纠纷多元化解服务体系，包括建设1个矛盾纠纷数据资源库、3大业务平台（事件智能管理平台、矛盾纠纷多元化解平台、数据监测分析平台）及相关配套设施等。</w:t>
      </w:r>
    </w:p>
    <w:p w14:paraId="2087C862">
      <w:pPr>
        <w:pStyle w:val="2"/>
        <w:numPr>
          <w:ilvl w:val="0"/>
          <w:numId w:val="2"/>
        </w:numPr>
        <w:spacing w:before="0" w:after="0" w:line="540" w:lineRule="exact"/>
        <w:ind w:firstLine="560" w:firstLineChars="200"/>
        <w:jc w:val="left"/>
        <w:rPr>
          <w:rFonts w:hint="eastAsia" w:ascii="Times New Roman" w:hAnsi="Times New Roman" w:eastAsia="黑体" w:cs="黑体"/>
          <w:b w:val="0"/>
          <w:color w:val="000000"/>
          <w:sz w:val="28"/>
          <w:szCs w:val="28"/>
        </w:rPr>
      </w:pPr>
      <w:r>
        <w:rPr>
          <w:rFonts w:hint="eastAsia" w:ascii="Times New Roman" w:hAnsi="Times New Roman" w:eastAsia="黑体" w:cs="黑体"/>
          <w:b w:val="0"/>
          <w:color w:val="000000"/>
          <w:sz w:val="28"/>
          <w:szCs w:val="28"/>
        </w:rPr>
        <w:t>服务内容</w:t>
      </w:r>
    </w:p>
    <w:tbl>
      <w:tblPr>
        <w:tblStyle w:val="10"/>
        <w:tblW w:w="54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0"/>
        <w:gridCol w:w="830"/>
        <w:gridCol w:w="1302"/>
        <w:gridCol w:w="6784"/>
      </w:tblGrid>
      <w:tr w14:paraId="30E53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jc w:val="center"/>
        </w:trPr>
        <w:tc>
          <w:tcPr>
            <w:tcW w:w="354" w:type="pct"/>
            <w:shd w:val="clear" w:color="auto" w:fill="A5A5A5"/>
            <w:noWrap/>
            <w:tcMar>
              <w:top w:w="15" w:type="dxa"/>
              <w:left w:w="15" w:type="dxa"/>
              <w:right w:w="15" w:type="dxa"/>
            </w:tcMar>
            <w:vAlign w:val="center"/>
          </w:tcPr>
          <w:p w14:paraId="15C6E80A">
            <w:pPr>
              <w:widowControl/>
              <w:spacing w:line="540" w:lineRule="exact"/>
              <w:jc w:val="center"/>
              <w:textAlignment w:val="center"/>
              <w:rPr>
                <w:rFonts w:hint="eastAsia" w:ascii="Times New Roman" w:hAnsi="Times New Roman" w:eastAsia="仿宋_GB2312" w:cs="仿宋_GB2312"/>
                <w:sz w:val="22"/>
                <w:szCs w:val="22"/>
              </w:rPr>
            </w:pPr>
            <w:r>
              <w:rPr>
                <w:rFonts w:hint="eastAsia" w:ascii="Times New Roman" w:hAnsi="Times New Roman" w:eastAsia="仿宋_GB2312" w:cs="仿宋_GB2312"/>
                <w:kern w:val="0"/>
                <w:sz w:val="22"/>
                <w:szCs w:val="22"/>
                <w:lang w:bidi="ar"/>
              </w:rPr>
              <w:t>序号</w:t>
            </w:r>
          </w:p>
        </w:tc>
        <w:tc>
          <w:tcPr>
            <w:tcW w:w="432" w:type="pct"/>
            <w:shd w:val="clear" w:color="auto" w:fill="A5A5A5"/>
            <w:tcMar>
              <w:top w:w="15" w:type="dxa"/>
              <w:left w:w="15" w:type="dxa"/>
              <w:right w:w="15" w:type="dxa"/>
            </w:tcMar>
            <w:vAlign w:val="center"/>
          </w:tcPr>
          <w:p w14:paraId="0AC07B0A">
            <w:pPr>
              <w:widowControl/>
              <w:spacing w:line="540" w:lineRule="exact"/>
              <w:jc w:val="center"/>
              <w:textAlignment w:val="center"/>
              <w:rPr>
                <w:rFonts w:hint="eastAsia" w:ascii="Times New Roman" w:hAnsi="Times New Roman" w:eastAsia="仿宋_GB2312" w:cs="仿宋_GB2312"/>
                <w:sz w:val="22"/>
                <w:szCs w:val="22"/>
              </w:rPr>
            </w:pPr>
            <w:r>
              <w:rPr>
                <w:rFonts w:hint="eastAsia" w:ascii="Times New Roman" w:hAnsi="Times New Roman" w:eastAsia="仿宋_GB2312" w:cs="仿宋_GB2312"/>
                <w:kern w:val="0"/>
                <w:sz w:val="22"/>
                <w:szCs w:val="22"/>
                <w:lang w:bidi="ar"/>
              </w:rPr>
              <w:t>项目名称</w:t>
            </w:r>
          </w:p>
        </w:tc>
        <w:tc>
          <w:tcPr>
            <w:tcW w:w="678" w:type="pct"/>
            <w:shd w:val="clear" w:color="auto" w:fill="A5A5A5"/>
            <w:noWrap/>
            <w:tcMar>
              <w:top w:w="15" w:type="dxa"/>
              <w:left w:w="15" w:type="dxa"/>
              <w:right w:w="15" w:type="dxa"/>
            </w:tcMar>
            <w:vAlign w:val="center"/>
          </w:tcPr>
          <w:p w14:paraId="153CD2FA">
            <w:pPr>
              <w:widowControl/>
              <w:spacing w:line="540" w:lineRule="exact"/>
              <w:jc w:val="center"/>
              <w:textAlignment w:val="center"/>
              <w:rPr>
                <w:rFonts w:hint="eastAsia" w:ascii="Times New Roman" w:hAnsi="Times New Roman" w:eastAsia="仿宋_GB2312" w:cs="仿宋_GB2312"/>
                <w:sz w:val="22"/>
                <w:szCs w:val="22"/>
              </w:rPr>
            </w:pPr>
            <w:r>
              <w:rPr>
                <w:rFonts w:hint="eastAsia" w:ascii="Times New Roman" w:hAnsi="Times New Roman" w:eastAsia="仿宋_GB2312" w:cs="仿宋_GB2312"/>
                <w:kern w:val="0"/>
                <w:sz w:val="22"/>
                <w:szCs w:val="22"/>
                <w:lang w:bidi="ar"/>
              </w:rPr>
              <w:t>模块</w:t>
            </w:r>
          </w:p>
        </w:tc>
        <w:tc>
          <w:tcPr>
            <w:tcW w:w="3534" w:type="pct"/>
            <w:shd w:val="clear" w:color="auto" w:fill="A5A5A5"/>
            <w:tcMar>
              <w:top w:w="15" w:type="dxa"/>
              <w:left w:w="15" w:type="dxa"/>
              <w:right w:w="15" w:type="dxa"/>
            </w:tcMar>
            <w:vAlign w:val="center"/>
          </w:tcPr>
          <w:p w14:paraId="597677F7">
            <w:pPr>
              <w:widowControl/>
              <w:spacing w:line="540" w:lineRule="exact"/>
              <w:jc w:val="center"/>
              <w:textAlignment w:val="center"/>
              <w:rPr>
                <w:rFonts w:hint="eastAsia" w:ascii="Times New Roman" w:hAnsi="Times New Roman" w:eastAsia="仿宋_GB2312" w:cs="仿宋_GB2312"/>
                <w:sz w:val="22"/>
                <w:szCs w:val="22"/>
              </w:rPr>
            </w:pPr>
            <w:r>
              <w:rPr>
                <w:rFonts w:hint="eastAsia" w:ascii="Times New Roman" w:hAnsi="Times New Roman" w:eastAsia="仿宋_GB2312" w:cs="仿宋_GB2312"/>
                <w:kern w:val="0"/>
                <w:sz w:val="22"/>
                <w:szCs w:val="22"/>
                <w:lang w:bidi="ar"/>
              </w:rPr>
              <w:t>功能及技术参数</w:t>
            </w:r>
          </w:p>
        </w:tc>
      </w:tr>
      <w:tr w14:paraId="3156E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0" w:hRule="atLeast"/>
          <w:jc w:val="center"/>
        </w:trPr>
        <w:tc>
          <w:tcPr>
            <w:tcW w:w="354" w:type="pct"/>
            <w:noWrap/>
            <w:tcMar>
              <w:top w:w="15" w:type="dxa"/>
              <w:left w:w="15" w:type="dxa"/>
              <w:right w:w="15" w:type="dxa"/>
            </w:tcMar>
            <w:vAlign w:val="center"/>
          </w:tcPr>
          <w:p w14:paraId="63E03D30">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1</w:t>
            </w:r>
          </w:p>
        </w:tc>
        <w:tc>
          <w:tcPr>
            <w:tcW w:w="432" w:type="pct"/>
            <w:vMerge w:val="restart"/>
            <w:tcMar>
              <w:top w:w="15" w:type="dxa"/>
              <w:left w:w="15" w:type="dxa"/>
              <w:right w:w="15" w:type="dxa"/>
            </w:tcMar>
            <w:vAlign w:val="center"/>
          </w:tcPr>
          <w:p w14:paraId="2C983B06">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功能性测试</w:t>
            </w:r>
          </w:p>
        </w:tc>
        <w:tc>
          <w:tcPr>
            <w:tcW w:w="678" w:type="pct"/>
            <w:noWrap/>
            <w:tcMar>
              <w:top w:w="15" w:type="dxa"/>
              <w:left w:w="15" w:type="dxa"/>
              <w:right w:w="15" w:type="dxa"/>
            </w:tcMar>
            <w:vAlign w:val="center"/>
          </w:tcPr>
          <w:p w14:paraId="671D0DD3">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功能完备性</w:t>
            </w:r>
          </w:p>
        </w:tc>
        <w:tc>
          <w:tcPr>
            <w:tcW w:w="3534" w:type="pct"/>
            <w:tcMar>
              <w:top w:w="15" w:type="dxa"/>
              <w:left w:w="15" w:type="dxa"/>
              <w:right w:w="15" w:type="dxa"/>
            </w:tcMar>
            <w:vAlign w:val="center"/>
          </w:tcPr>
          <w:p w14:paraId="60A83DC7">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功能集对指定的任务和用户目标的覆盖程度；</w:t>
            </w:r>
          </w:p>
        </w:tc>
      </w:tr>
      <w:tr w14:paraId="3C3A3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354" w:type="pct"/>
            <w:noWrap/>
            <w:tcMar>
              <w:top w:w="15" w:type="dxa"/>
              <w:left w:w="15" w:type="dxa"/>
              <w:right w:w="15" w:type="dxa"/>
            </w:tcMar>
            <w:vAlign w:val="center"/>
          </w:tcPr>
          <w:p w14:paraId="6E8B44DF">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2</w:t>
            </w:r>
          </w:p>
        </w:tc>
        <w:tc>
          <w:tcPr>
            <w:tcW w:w="432" w:type="pct"/>
            <w:vMerge w:val="continue"/>
            <w:tcMar>
              <w:top w:w="15" w:type="dxa"/>
              <w:left w:w="15" w:type="dxa"/>
              <w:right w:w="15" w:type="dxa"/>
            </w:tcMar>
            <w:vAlign w:val="center"/>
          </w:tcPr>
          <w:p w14:paraId="6FDE0450">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33586115">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功能正确性</w:t>
            </w:r>
          </w:p>
        </w:tc>
        <w:tc>
          <w:tcPr>
            <w:tcW w:w="3534" w:type="pct"/>
            <w:tcMar>
              <w:top w:w="15" w:type="dxa"/>
              <w:left w:w="15" w:type="dxa"/>
              <w:right w:w="15" w:type="dxa"/>
            </w:tcMar>
            <w:vAlign w:val="center"/>
          </w:tcPr>
          <w:p w14:paraId="60912B62">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软件或系统提供具有所需精度的正确的结果和程度；</w:t>
            </w:r>
          </w:p>
        </w:tc>
      </w:tr>
      <w:tr w14:paraId="07004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354" w:type="pct"/>
            <w:noWrap/>
            <w:tcMar>
              <w:top w:w="15" w:type="dxa"/>
              <w:left w:w="15" w:type="dxa"/>
              <w:right w:w="15" w:type="dxa"/>
            </w:tcMar>
            <w:vAlign w:val="center"/>
          </w:tcPr>
          <w:p w14:paraId="20535006">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3</w:t>
            </w:r>
          </w:p>
        </w:tc>
        <w:tc>
          <w:tcPr>
            <w:tcW w:w="432" w:type="pct"/>
            <w:vMerge w:val="continue"/>
            <w:tcMar>
              <w:top w:w="15" w:type="dxa"/>
              <w:left w:w="15" w:type="dxa"/>
              <w:right w:w="15" w:type="dxa"/>
            </w:tcMar>
            <w:vAlign w:val="center"/>
          </w:tcPr>
          <w:p w14:paraId="3731BBB7">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09FB248A">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功能适合性</w:t>
            </w:r>
          </w:p>
        </w:tc>
        <w:tc>
          <w:tcPr>
            <w:tcW w:w="3534" w:type="pct"/>
            <w:tcMar>
              <w:top w:w="15" w:type="dxa"/>
              <w:left w:w="15" w:type="dxa"/>
              <w:right w:w="15" w:type="dxa"/>
            </w:tcMar>
            <w:vAlign w:val="center"/>
          </w:tcPr>
          <w:p w14:paraId="02B5796F">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功能促使指定的任务和目标实现的程度；</w:t>
            </w:r>
          </w:p>
        </w:tc>
      </w:tr>
      <w:tr w14:paraId="002BF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354" w:type="pct"/>
            <w:noWrap/>
            <w:tcMar>
              <w:top w:w="15" w:type="dxa"/>
              <w:left w:w="15" w:type="dxa"/>
              <w:right w:w="15" w:type="dxa"/>
            </w:tcMar>
            <w:vAlign w:val="center"/>
          </w:tcPr>
          <w:p w14:paraId="318D28C9">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4</w:t>
            </w:r>
          </w:p>
        </w:tc>
        <w:tc>
          <w:tcPr>
            <w:tcW w:w="432" w:type="pct"/>
            <w:vMerge w:val="restart"/>
            <w:tcMar>
              <w:top w:w="15" w:type="dxa"/>
              <w:left w:w="15" w:type="dxa"/>
              <w:right w:w="15" w:type="dxa"/>
            </w:tcMar>
            <w:vAlign w:val="center"/>
          </w:tcPr>
          <w:p w14:paraId="0F6278FC">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性能效率测试</w:t>
            </w:r>
          </w:p>
        </w:tc>
        <w:tc>
          <w:tcPr>
            <w:tcW w:w="678" w:type="pct"/>
            <w:noWrap/>
            <w:tcMar>
              <w:top w:w="15" w:type="dxa"/>
              <w:left w:w="15" w:type="dxa"/>
              <w:right w:w="15" w:type="dxa"/>
            </w:tcMar>
            <w:vAlign w:val="center"/>
          </w:tcPr>
          <w:p w14:paraId="4FC81B33">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时间特性</w:t>
            </w:r>
          </w:p>
        </w:tc>
        <w:tc>
          <w:tcPr>
            <w:tcW w:w="3534" w:type="pct"/>
            <w:tcMar>
              <w:top w:w="15" w:type="dxa"/>
              <w:left w:w="15" w:type="dxa"/>
              <w:right w:w="15" w:type="dxa"/>
            </w:tcMar>
            <w:vAlign w:val="center"/>
          </w:tcPr>
          <w:p w14:paraId="4AC845D6">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产品或系统执行其功能时，其响应时间、处理时间及吞吐率满足需求的程度。</w:t>
            </w:r>
          </w:p>
        </w:tc>
      </w:tr>
      <w:tr w14:paraId="59721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354" w:type="pct"/>
            <w:noWrap/>
            <w:tcMar>
              <w:top w:w="15" w:type="dxa"/>
              <w:left w:w="15" w:type="dxa"/>
              <w:right w:w="15" w:type="dxa"/>
            </w:tcMar>
            <w:vAlign w:val="center"/>
          </w:tcPr>
          <w:p w14:paraId="32B68F9A">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5</w:t>
            </w:r>
          </w:p>
        </w:tc>
        <w:tc>
          <w:tcPr>
            <w:tcW w:w="432" w:type="pct"/>
            <w:vMerge w:val="continue"/>
            <w:tcMar>
              <w:top w:w="15" w:type="dxa"/>
              <w:left w:w="15" w:type="dxa"/>
              <w:right w:w="15" w:type="dxa"/>
            </w:tcMar>
            <w:vAlign w:val="center"/>
          </w:tcPr>
          <w:p w14:paraId="20AFE702">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173DF459">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资源利用性</w:t>
            </w:r>
          </w:p>
        </w:tc>
        <w:tc>
          <w:tcPr>
            <w:tcW w:w="3534" w:type="pct"/>
            <w:tcMar>
              <w:top w:w="15" w:type="dxa"/>
              <w:left w:w="15" w:type="dxa"/>
              <w:right w:w="15" w:type="dxa"/>
            </w:tcMar>
            <w:vAlign w:val="center"/>
          </w:tcPr>
          <w:p w14:paraId="3ED3ABC9">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产品或系统执行其功能时，所使用资源数量和类型满足需求的程度。</w:t>
            </w:r>
          </w:p>
        </w:tc>
      </w:tr>
      <w:tr w14:paraId="1111E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354" w:type="pct"/>
            <w:noWrap/>
            <w:tcMar>
              <w:top w:w="15" w:type="dxa"/>
              <w:left w:w="15" w:type="dxa"/>
              <w:right w:w="15" w:type="dxa"/>
            </w:tcMar>
            <w:vAlign w:val="center"/>
          </w:tcPr>
          <w:p w14:paraId="085DAC5B">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6</w:t>
            </w:r>
          </w:p>
        </w:tc>
        <w:tc>
          <w:tcPr>
            <w:tcW w:w="432" w:type="pct"/>
            <w:vMerge w:val="continue"/>
            <w:tcMar>
              <w:top w:w="15" w:type="dxa"/>
              <w:left w:w="15" w:type="dxa"/>
              <w:right w:w="15" w:type="dxa"/>
            </w:tcMar>
            <w:vAlign w:val="center"/>
          </w:tcPr>
          <w:p w14:paraId="0CA9E32C">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6C7CC6BB">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容量</w:t>
            </w:r>
          </w:p>
        </w:tc>
        <w:tc>
          <w:tcPr>
            <w:tcW w:w="3534" w:type="pct"/>
            <w:tcMar>
              <w:top w:w="15" w:type="dxa"/>
              <w:left w:w="15" w:type="dxa"/>
              <w:right w:w="15" w:type="dxa"/>
            </w:tcMar>
            <w:vAlign w:val="center"/>
          </w:tcPr>
          <w:p w14:paraId="09E0D32C">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产品或系统参数的最大限量满足需求的程度。</w:t>
            </w:r>
          </w:p>
        </w:tc>
      </w:tr>
      <w:tr w14:paraId="4E58B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atLeast"/>
          <w:jc w:val="center"/>
        </w:trPr>
        <w:tc>
          <w:tcPr>
            <w:tcW w:w="354" w:type="pct"/>
            <w:noWrap/>
            <w:tcMar>
              <w:top w:w="15" w:type="dxa"/>
              <w:left w:w="15" w:type="dxa"/>
              <w:right w:w="15" w:type="dxa"/>
            </w:tcMar>
            <w:vAlign w:val="center"/>
          </w:tcPr>
          <w:p w14:paraId="77CBF355">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7</w:t>
            </w:r>
          </w:p>
        </w:tc>
        <w:tc>
          <w:tcPr>
            <w:tcW w:w="432" w:type="pct"/>
            <w:vMerge w:val="restart"/>
            <w:tcMar>
              <w:top w:w="15" w:type="dxa"/>
              <w:left w:w="15" w:type="dxa"/>
              <w:right w:w="15" w:type="dxa"/>
            </w:tcMar>
            <w:vAlign w:val="center"/>
          </w:tcPr>
          <w:p w14:paraId="6642E8F5">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兼容性测试</w:t>
            </w:r>
          </w:p>
        </w:tc>
        <w:tc>
          <w:tcPr>
            <w:tcW w:w="678" w:type="pct"/>
            <w:noWrap/>
            <w:tcMar>
              <w:top w:w="15" w:type="dxa"/>
              <w:left w:w="15" w:type="dxa"/>
              <w:right w:w="15" w:type="dxa"/>
            </w:tcMar>
            <w:vAlign w:val="center"/>
          </w:tcPr>
          <w:p w14:paraId="2FEFDA31">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共存性</w:t>
            </w:r>
          </w:p>
        </w:tc>
        <w:tc>
          <w:tcPr>
            <w:tcW w:w="3534" w:type="pct"/>
            <w:tcMar>
              <w:top w:w="15" w:type="dxa"/>
              <w:left w:w="15" w:type="dxa"/>
              <w:right w:w="15" w:type="dxa"/>
            </w:tcMar>
            <w:vAlign w:val="center"/>
          </w:tcPr>
          <w:p w14:paraId="1F9265D1">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在与其他产品共享通用的环境和资源的条件下，产品能够有效执行其所需的功能并且不会对其他产品造成负面影响的程度。</w:t>
            </w:r>
          </w:p>
        </w:tc>
      </w:tr>
      <w:tr w14:paraId="17A1D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354" w:type="pct"/>
            <w:noWrap/>
            <w:tcMar>
              <w:top w:w="15" w:type="dxa"/>
              <w:left w:w="15" w:type="dxa"/>
              <w:right w:w="15" w:type="dxa"/>
            </w:tcMar>
            <w:vAlign w:val="center"/>
          </w:tcPr>
          <w:p w14:paraId="3CAADB78">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8</w:t>
            </w:r>
          </w:p>
        </w:tc>
        <w:tc>
          <w:tcPr>
            <w:tcW w:w="432" w:type="pct"/>
            <w:vMerge w:val="continue"/>
            <w:tcMar>
              <w:top w:w="15" w:type="dxa"/>
              <w:left w:w="15" w:type="dxa"/>
              <w:right w:w="15" w:type="dxa"/>
            </w:tcMar>
            <w:vAlign w:val="center"/>
          </w:tcPr>
          <w:p w14:paraId="01B263B0">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33A7094A">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互操作性</w:t>
            </w:r>
          </w:p>
        </w:tc>
        <w:tc>
          <w:tcPr>
            <w:tcW w:w="3534" w:type="pct"/>
            <w:tcMar>
              <w:top w:w="15" w:type="dxa"/>
              <w:left w:w="15" w:type="dxa"/>
              <w:right w:w="15" w:type="dxa"/>
            </w:tcMar>
            <w:vAlign w:val="center"/>
          </w:tcPr>
          <w:p w14:paraId="2A1C3820">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两个或多个系统、产品或组件能够交换信息并使用已交换的信息的程度。</w:t>
            </w:r>
          </w:p>
        </w:tc>
      </w:tr>
      <w:tr w14:paraId="3E91D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354" w:type="pct"/>
            <w:noWrap/>
            <w:tcMar>
              <w:top w:w="15" w:type="dxa"/>
              <w:left w:w="15" w:type="dxa"/>
              <w:right w:w="15" w:type="dxa"/>
            </w:tcMar>
            <w:vAlign w:val="center"/>
          </w:tcPr>
          <w:p w14:paraId="37EB04ED">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9</w:t>
            </w:r>
          </w:p>
        </w:tc>
        <w:tc>
          <w:tcPr>
            <w:tcW w:w="432" w:type="pct"/>
            <w:vMerge w:val="restart"/>
            <w:tcMar>
              <w:top w:w="15" w:type="dxa"/>
              <w:left w:w="15" w:type="dxa"/>
              <w:right w:w="15" w:type="dxa"/>
            </w:tcMar>
            <w:vAlign w:val="center"/>
          </w:tcPr>
          <w:p w14:paraId="4E28D323">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易用性</w:t>
            </w:r>
          </w:p>
        </w:tc>
        <w:tc>
          <w:tcPr>
            <w:tcW w:w="678" w:type="pct"/>
            <w:noWrap/>
            <w:tcMar>
              <w:top w:w="15" w:type="dxa"/>
              <w:left w:w="15" w:type="dxa"/>
              <w:right w:w="15" w:type="dxa"/>
            </w:tcMar>
            <w:vAlign w:val="center"/>
          </w:tcPr>
          <w:p w14:paraId="0F38B3CB">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可辨识性</w:t>
            </w:r>
          </w:p>
        </w:tc>
        <w:tc>
          <w:tcPr>
            <w:tcW w:w="3534" w:type="pct"/>
            <w:tcMar>
              <w:top w:w="15" w:type="dxa"/>
              <w:left w:w="15" w:type="dxa"/>
              <w:right w:w="15" w:type="dxa"/>
            </w:tcMar>
            <w:vAlign w:val="center"/>
          </w:tcPr>
          <w:p w14:paraId="0D563091">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用户能够辨识产品或系统是否适合他们的要求的程度</w:t>
            </w:r>
          </w:p>
        </w:tc>
      </w:tr>
      <w:tr w14:paraId="75A47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atLeast"/>
          <w:jc w:val="center"/>
        </w:trPr>
        <w:tc>
          <w:tcPr>
            <w:tcW w:w="354" w:type="pct"/>
            <w:noWrap/>
            <w:tcMar>
              <w:top w:w="15" w:type="dxa"/>
              <w:left w:w="15" w:type="dxa"/>
              <w:right w:w="15" w:type="dxa"/>
            </w:tcMar>
            <w:vAlign w:val="center"/>
          </w:tcPr>
          <w:p w14:paraId="7C2CB989">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10</w:t>
            </w:r>
          </w:p>
        </w:tc>
        <w:tc>
          <w:tcPr>
            <w:tcW w:w="432" w:type="pct"/>
            <w:vMerge w:val="continue"/>
            <w:tcMar>
              <w:top w:w="15" w:type="dxa"/>
              <w:left w:w="15" w:type="dxa"/>
              <w:right w:w="15" w:type="dxa"/>
            </w:tcMar>
            <w:vAlign w:val="center"/>
          </w:tcPr>
          <w:p w14:paraId="5AD6BEB2">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7B5E8B4D">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易学性</w:t>
            </w:r>
          </w:p>
        </w:tc>
        <w:tc>
          <w:tcPr>
            <w:tcW w:w="3534" w:type="pct"/>
            <w:tcMar>
              <w:top w:w="15" w:type="dxa"/>
              <w:left w:w="15" w:type="dxa"/>
              <w:right w:w="15" w:type="dxa"/>
            </w:tcMar>
            <w:vAlign w:val="center"/>
          </w:tcPr>
          <w:p w14:paraId="7513049A">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在指定的使用环境中，产品或系统在有效性、效率、抗风险和满意度特性方面为了学习使用该产品或系统这一指定的目标可为指定用户使用的程度。</w:t>
            </w:r>
          </w:p>
        </w:tc>
      </w:tr>
      <w:tr w14:paraId="794C6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54" w:type="pct"/>
            <w:noWrap/>
            <w:tcMar>
              <w:top w:w="15" w:type="dxa"/>
              <w:left w:w="15" w:type="dxa"/>
              <w:right w:w="15" w:type="dxa"/>
            </w:tcMar>
            <w:vAlign w:val="center"/>
          </w:tcPr>
          <w:p w14:paraId="425E7EB1">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11</w:t>
            </w:r>
          </w:p>
        </w:tc>
        <w:tc>
          <w:tcPr>
            <w:tcW w:w="432" w:type="pct"/>
            <w:vMerge w:val="continue"/>
            <w:tcMar>
              <w:top w:w="15" w:type="dxa"/>
              <w:left w:w="15" w:type="dxa"/>
              <w:right w:w="15" w:type="dxa"/>
            </w:tcMar>
            <w:vAlign w:val="center"/>
          </w:tcPr>
          <w:p w14:paraId="3E2F28D6">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323E8018">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易操作性</w:t>
            </w:r>
          </w:p>
        </w:tc>
        <w:tc>
          <w:tcPr>
            <w:tcW w:w="3534" w:type="pct"/>
            <w:tcMar>
              <w:top w:w="15" w:type="dxa"/>
              <w:left w:w="15" w:type="dxa"/>
              <w:right w:w="15" w:type="dxa"/>
            </w:tcMar>
            <w:vAlign w:val="center"/>
          </w:tcPr>
          <w:p w14:paraId="22C4F735">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产品或系统具有易于操作和控制的属性程度。</w:t>
            </w:r>
          </w:p>
        </w:tc>
      </w:tr>
      <w:tr w14:paraId="64333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354" w:type="pct"/>
            <w:noWrap/>
            <w:tcMar>
              <w:top w:w="15" w:type="dxa"/>
              <w:left w:w="15" w:type="dxa"/>
              <w:right w:w="15" w:type="dxa"/>
            </w:tcMar>
            <w:vAlign w:val="center"/>
          </w:tcPr>
          <w:p w14:paraId="02493760">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12</w:t>
            </w:r>
          </w:p>
        </w:tc>
        <w:tc>
          <w:tcPr>
            <w:tcW w:w="432" w:type="pct"/>
            <w:vMerge w:val="continue"/>
            <w:tcMar>
              <w:top w:w="15" w:type="dxa"/>
              <w:left w:w="15" w:type="dxa"/>
              <w:right w:w="15" w:type="dxa"/>
            </w:tcMar>
            <w:vAlign w:val="center"/>
          </w:tcPr>
          <w:p w14:paraId="4DDE1D0A">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5D0CE731">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用户差错防御性</w:t>
            </w:r>
          </w:p>
        </w:tc>
        <w:tc>
          <w:tcPr>
            <w:tcW w:w="3534" w:type="pct"/>
            <w:tcMar>
              <w:top w:w="15" w:type="dxa"/>
              <w:left w:w="15" w:type="dxa"/>
              <w:right w:w="15" w:type="dxa"/>
            </w:tcMar>
            <w:vAlign w:val="center"/>
          </w:tcPr>
          <w:p w14:paraId="530E3C7C">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系统预防用户犯错的程度。</w:t>
            </w:r>
          </w:p>
        </w:tc>
      </w:tr>
      <w:tr w14:paraId="26201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354" w:type="pct"/>
            <w:noWrap/>
            <w:tcMar>
              <w:top w:w="15" w:type="dxa"/>
              <w:left w:w="15" w:type="dxa"/>
              <w:right w:w="15" w:type="dxa"/>
            </w:tcMar>
            <w:vAlign w:val="center"/>
          </w:tcPr>
          <w:p w14:paraId="1C4FE92C">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13</w:t>
            </w:r>
          </w:p>
        </w:tc>
        <w:tc>
          <w:tcPr>
            <w:tcW w:w="432" w:type="pct"/>
            <w:vMerge w:val="continue"/>
            <w:tcMar>
              <w:top w:w="15" w:type="dxa"/>
              <w:left w:w="15" w:type="dxa"/>
              <w:right w:w="15" w:type="dxa"/>
            </w:tcMar>
            <w:vAlign w:val="center"/>
          </w:tcPr>
          <w:p w14:paraId="40B110FB">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63E53869">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用户界面舒适性</w:t>
            </w:r>
          </w:p>
        </w:tc>
        <w:tc>
          <w:tcPr>
            <w:tcW w:w="3534" w:type="pct"/>
            <w:tcMar>
              <w:top w:w="15" w:type="dxa"/>
              <w:left w:w="15" w:type="dxa"/>
              <w:right w:w="15" w:type="dxa"/>
            </w:tcMar>
            <w:vAlign w:val="center"/>
          </w:tcPr>
          <w:p w14:paraId="6BB1FC11">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用户界面提供令人愉悦和满意的交互的程度。</w:t>
            </w:r>
          </w:p>
        </w:tc>
      </w:tr>
      <w:tr w14:paraId="25FAD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354" w:type="pct"/>
            <w:noWrap/>
            <w:tcMar>
              <w:top w:w="15" w:type="dxa"/>
              <w:left w:w="15" w:type="dxa"/>
              <w:right w:w="15" w:type="dxa"/>
            </w:tcMar>
            <w:vAlign w:val="center"/>
          </w:tcPr>
          <w:p w14:paraId="37F53754">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14</w:t>
            </w:r>
          </w:p>
        </w:tc>
        <w:tc>
          <w:tcPr>
            <w:tcW w:w="432" w:type="pct"/>
            <w:vMerge w:val="restart"/>
            <w:tcMar>
              <w:top w:w="15" w:type="dxa"/>
              <w:left w:w="15" w:type="dxa"/>
              <w:right w:w="15" w:type="dxa"/>
            </w:tcMar>
            <w:vAlign w:val="center"/>
          </w:tcPr>
          <w:p w14:paraId="55586762">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可靠性测试</w:t>
            </w:r>
          </w:p>
        </w:tc>
        <w:tc>
          <w:tcPr>
            <w:tcW w:w="678" w:type="pct"/>
            <w:noWrap/>
            <w:tcMar>
              <w:top w:w="15" w:type="dxa"/>
              <w:left w:w="15" w:type="dxa"/>
              <w:right w:w="15" w:type="dxa"/>
            </w:tcMar>
            <w:vAlign w:val="center"/>
          </w:tcPr>
          <w:p w14:paraId="3B82FA96">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成熟性</w:t>
            </w:r>
          </w:p>
        </w:tc>
        <w:tc>
          <w:tcPr>
            <w:tcW w:w="3534" w:type="pct"/>
            <w:tcMar>
              <w:top w:w="15" w:type="dxa"/>
              <w:left w:w="15" w:type="dxa"/>
              <w:right w:w="15" w:type="dxa"/>
            </w:tcMar>
            <w:vAlign w:val="center"/>
          </w:tcPr>
          <w:p w14:paraId="2AD41A1F">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系统、产品或组件在正常运行时满足可靠性要求的程度。</w:t>
            </w:r>
          </w:p>
        </w:tc>
      </w:tr>
      <w:tr w14:paraId="01A27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354" w:type="pct"/>
            <w:noWrap/>
            <w:tcMar>
              <w:top w:w="15" w:type="dxa"/>
              <w:left w:w="15" w:type="dxa"/>
              <w:right w:w="15" w:type="dxa"/>
            </w:tcMar>
            <w:vAlign w:val="center"/>
          </w:tcPr>
          <w:p w14:paraId="2248FA70">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15</w:t>
            </w:r>
          </w:p>
        </w:tc>
        <w:tc>
          <w:tcPr>
            <w:tcW w:w="432" w:type="pct"/>
            <w:vMerge w:val="continue"/>
            <w:tcMar>
              <w:top w:w="15" w:type="dxa"/>
              <w:left w:w="15" w:type="dxa"/>
              <w:right w:w="15" w:type="dxa"/>
            </w:tcMar>
            <w:vAlign w:val="center"/>
          </w:tcPr>
          <w:p w14:paraId="64BC5235">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27AAABF3">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容错性</w:t>
            </w:r>
          </w:p>
        </w:tc>
        <w:tc>
          <w:tcPr>
            <w:tcW w:w="3534" w:type="pct"/>
            <w:tcMar>
              <w:top w:w="15" w:type="dxa"/>
              <w:left w:w="15" w:type="dxa"/>
              <w:right w:w="15" w:type="dxa"/>
            </w:tcMar>
            <w:vAlign w:val="center"/>
          </w:tcPr>
          <w:p w14:paraId="599343F2">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尽管存在硬件或软件故障，系统、产品或组件的运行符合预期的程度。</w:t>
            </w:r>
          </w:p>
        </w:tc>
      </w:tr>
      <w:tr w14:paraId="78B31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354" w:type="pct"/>
            <w:noWrap/>
            <w:tcMar>
              <w:top w:w="15" w:type="dxa"/>
              <w:left w:w="15" w:type="dxa"/>
              <w:right w:w="15" w:type="dxa"/>
            </w:tcMar>
            <w:vAlign w:val="center"/>
          </w:tcPr>
          <w:p w14:paraId="51B072E9">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16</w:t>
            </w:r>
          </w:p>
        </w:tc>
        <w:tc>
          <w:tcPr>
            <w:tcW w:w="432" w:type="pct"/>
            <w:vMerge w:val="continue"/>
            <w:tcMar>
              <w:top w:w="15" w:type="dxa"/>
              <w:left w:w="15" w:type="dxa"/>
              <w:right w:w="15" w:type="dxa"/>
            </w:tcMar>
            <w:vAlign w:val="center"/>
          </w:tcPr>
          <w:p w14:paraId="793546D5">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0BEB5E28">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易恢复性</w:t>
            </w:r>
          </w:p>
        </w:tc>
        <w:tc>
          <w:tcPr>
            <w:tcW w:w="3534" w:type="pct"/>
            <w:tcMar>
              <w:top w:w="15" w:type="dxa"/>
              <w:left w:w="15" w:type="dxa"/>
              <w:right w:w="15" w:type="dxa"/>
            </w:tcMar>
            <w:vAlign w:val="center"/>
          </w:tcPr>
          <w:p w14:paraId="5F87D2E9">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在发生中断或失效时，产品或系统能够恢复直接受影响的数据并重建期望的系统状态的程度。</w:t>
            </w:r>
          </w:p>
        </w:tc>
      </w:tr>
      <w:tr w14:paraId="026C0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354" w:type="pct"/>
            <w:noWrap/>
            <w:tcMar>
              <w:top w:w="15" w:type="dxa"/>
              <w:left w:w="15" w:type="dxa"/>
              <w:right w:w="15" w:type="dxa"/>
            </w:tcMar>
            <w:vAlign w:val="center"/>
          </w:tcPr>
          <w:p w14:paraId="0AC07FE2">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17</w:t>
            </w:r>
          </w:p>
        </w:tc>
        <w:tc>
          <w:tcPr>
            <w:tcW w:w="432" w:type="pct"/>
            <w:vMerge w:val="restart"/>
            <w:tcMar>
              <w:top w:w="15" w:type="dxa"/>
              <w:left w:w="15" w:type="dxa"/>
              <w:right w:w="15" w:type="dxa"/>
            </w:tcMar>
            <w:vAlign w:val="center"/>
          </w:tcPr>
          <w:p w14:paraId="15F6B5EE">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信息安全性测试</w:t>
            </w:r>
          </w:p>
        </w:tc>
        <w:tc>
          <w:tcPr>
            <w:tcW w:w="678" w:type="pct"/>
            <w:noWrap/>
            <w:tcMar>
              <w:top w:w="15" w:type="dxa"/>
              <w:left w:w="15" w:type="dxa"/>
              <w:right w:w="15" w:type="dxa"/>
            </w:tcMar>
            <w:vAlign w:val="center"/>
          </w:tcPr>
          <w:p w14:paraId="34AE211C">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保密性</w:t>
            </w:r>
          </w:p>
        </w:tc>
        <w:tc>
          <w:tcPr>
            <w:tcW w:w="3534" w:type="pct"/>
            <w:tcMar>
              <w:top w:w="15" w:type="dxa"/>
              <w:left w:w="15" w:type="dxa"/>
              <w:right w:w="15" w:type="dxa"/>
            </w:tcMar>
            <w:vAlign w:val="center"/>
          </w:tcPr>
          <w:p w14:paraId="17390B1D">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产品或系统确保数据只有在被授权时才能被访问的程度。</w:t>
            </w:r>
          </w:p>
        </w:tc>
      </w:tr>
      <w:tr w14:paraId="01327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354" w:type="pct"/>
            <w:noWrap/>
            <w:tcMar>
              <w:top w:w="15" w:type="dxa"/>
              <w:left w:w="15" w:type="dxa"/>
              <w:right w:w="15" w:type="dxa"/>
            </w:tcMar>
            <w:vAlign w:val="center"/>
          </w:tcPr>
          <w:p w14:paraId="05346C2C">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18</w:t>
            </w:r>
          </w:p>
        </w:tc>
        <w:tc>
          <w:tcPr>
            <w:tcW w:w="432" w:type="pct"/>
            <w:vMerge w:val="continue"/>
            <w:tcMar>
              <w:top w:w="15" w:type="dxa"/>
              <w:left w:w="15" w:type="dxa"/>
              <w:right w:w="15" w:type="dxa"/>
            </w:tcMar>
            <w:vAlign w:val="center"/>
          </w:tcPr>
          <w:p w14:paraId="47268657">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2BFC8479">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完整性</w:t>
            </w:r>
          </w:p>
        </w:tc>
        <w:tc>
          <w:tcPr>
            <w:tcW w:w="3534" w:type="pct"/>
            <w:tcMar>
              <w:top w:w="15" w:type="dxa"/>
              <w:left w:w="15" w:type="dxa"/>
              <w:right w:w="15" w:type="dxa"/>
            </w:tcMar>
            <w:vAlign w:val="center"/>
          </w:tcPr>
          <w:p w14:paraId="1172EE73">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系统、产品或组件防止未授权访问、篡改计算机程序或数据的程度。</w:t>
            </w:r>
          </w:p>
        </w:tc>
      </w:tr>
      <w:tr w14:paraId="5FA57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354" w:type="pct"/>
            <w:noWrap/>
            <w:tcMar>
              <w:top w:w="15" w:type="dxa"/>
              <w:left w:w="15" w:type="dxa"/>
              <w:right w:w="15" w:type="dxa"/>
            </w:tcMar>
            <w:vAlign w:val="center"/>
          </w:tcPr>
          <w:p w14:paraId="085CFE04">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19</w:t>
            </w:r>
          </w:p>
        </w:tc>
        <w:tc>
          <w:tcPr>
            <w:tcW w:w="432" w:type="pct"/>
            <w:vMerge w:val="continue"/>
            <w:tcMar>
              <w:top w:w="15" w:type="dxa"/>
              <w:left w:w="15" w:type="dxa"/>
              <w:right w:w="15" w:type="dxa"/>
            </w:tcMar>
            <w:vAlign w:val="center"/>
          </w:tcPr>
          <w:p w14:paraId="7289A6EF">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25D60F1B">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抗抵赖性</w:t>
            </w:r>
          </w:p>
        </w:tc>
        <w:tc>
          <w:tcPr>
            <w:tcW w:w="3534" w:type="pct"/>
            <w:tcMar>
              <w:top w:w="15" w:type="dxa"/>
              <w:left w:w="15" w:type="dxa"/>
              <w:right w:w="15" w:type="dxa"/>
            </w:tcMar>
            <w:vAlign w:val="center"/>
          </w:tcPr>
          <w:p w14:paraId="200E4CD0">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活动或事件发生后可以被证实且不可被否认的程度。</w:t>
            </w:r>
          </w:p>
        </w:tc>
      </w:tr>
      <w:tr w14:paraId="313FA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354" w:type="pct"/>
            <w:noWrap/>
            <w:tcMar>
              <w:top w:w="15" w:type="dxa"/>
              <w:left w:w="15" w:type="dxa"/>
              <w:right w:w="15" w:type="dxa"/>
            </w:tcMar>
            <w:vAlign w:val="center"/>
          </w:tcPr>
          <w:p w14:paraId="6AEF5A7C">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20</w:t>
            </w:r>
          </w:p>
        </w:tc>
        <w:tc>
          <w:tcPr>
            <w:tcW w:w="432" w:type="pct"/>
            <w:vMerge w:val="continue"/>
            <w:tcMar>
              <w:top w:w="15" w:type="dxa"/>
              <w:left w:w="15" w:type="dxa"/>
              <w:right w:w="15" w:type="dxa"/>
            </w:tcMar>
            <w:vAlign w:val="center"/>
          </w:tcPr>
          <w:p w14:paraId="7B6F26CD">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72308C11">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可核查性</w:t>
            </w:r>
          </w:p>
        </w:tc>
        <w:tc>
          <w:tcPr>
            <w:tcW w:w="3534" w:type="pct"/>
            <w:tcMar>
              <w:top w:w="15" w:type="dxa"/>
              <w:left w:w="15" w:type="dxa"/>
              <w:right w:w="15" w:type="dxa"/>
            </w:tcMar>
            <w:vAlign w:val="center"/>
          </w:tcPr>
          <w:p w14:paraId="4B7A6348">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实体的活动可以被唯一地追溯到该实体的程度。</w:t>
            </w:r>
          </w:p>
        </w:tc>
      </w:tr>
      <w:tr w14:paraId="0B24A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354" w:type="pct"/>
            <w:noWrap/>
            <w:tcMar>
              <w:top w:w="15" w:type="dxa"/>
              <w:left w:w="15" w:type="dxa"/>
              <w:right w:w="15" w:type="dxa"/>
            </w:tcMar>
            <w:vAlign w:val="center"/>
          </w:tcPr>
          <w:p w14:paraId="72ADDD56">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21</w:t>
            </w:r>
          </w:p>
        </w:tc>
        <w:tc>
          <w:tcPr>
            <w:tcW w:w="432" w:type="pct"/>
            <w:vMerge w:val="continue"/>
            <w:tcMar>
              <w:top w:w="15" w:type="dxa"/>
              <w:left w:w="15" w:type="dxa"/>
              <w:right w:w="15" w:type="dxa"/>
            </w:tcMar>
            <w:vAlign w:val="center"/>
          </w:tcPr>
          <w:p w14:paraId="1311299A">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1475A814">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真实性</w:t>
            </w:r>
          </w:p>
        </w:tc>
        <w:tc>
          <w:tcPr>
            <w:tcW w:w="3534" w:type="pct"/>
            <w:tcMar>
              <w:top w:w="15" w:type="dxa"/>
              <w:left w:w="15" w:type="dxa"/>
              <w:right w:w="15" w:type="dxa"/>
            </w:tcMar>
            <w:vAlign w:val="center"/>
          </w:tcPr>
          <w:p w14:paraId="00BDC469">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对象或资源的身份标识能够被证实符合其声明的程度。</w:t>
            </w:r>
          </w:p>
        </w:tc>
      </w:tr>
      <w:tr w14:paraId="12818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atLeast"/>
          <w:jc w:val="center"/>
        </w:trPr>
        <w:tc>
          <w:tcPr>
            <w:tcW w:w="354" w:type="pct"/>
            <w:noWrap/>
            <w:tcMar>
              <w:top w:w="15" w:type="dxa"/>
              <w:left w:w="15" w:type="dxa"/>
              <w:right w:w="15" w:type="dxa"/>
            </w:tcMar>
            <w:vAlign w:val="center"/>
          </w:tcPr>
          <w:p w14:paraId="18E7CDF4">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22</w:t>
            </w:r>
          </w:p>
        </w:tc>
        <w:tc>
          <w:tcPr>
            <w:tcW w:w="432" w:type="pct"/>
            <w:vMerge w:val="restart"/>
            <w:tcMar>
              <w:top w:w="15" w:type="dxa"/>
              <w:left w:w="15" w:type="dxa"/>
              <w:right w:w="15" w:type="dxa"/>
            </w:tcMar>
            <w:vAlign w:val="center"/>
          </w:tcPr>
          <w:p w14:paraId="0FD4C6F9">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可移植性测试</w:t>
            </w:r>
          </w:p>
        </w:tc>
        <w:tc>
          <w:tcPr>
            <w:tcW w:w="678" w:type="pct"/>
            <w:noWrap/>
            <w:tcMar>
              <w:top w:w="15" w:type="dxa"/>
              <w:left w:w="15" w:type="dxa"/>
              <w:right w:w="15" w:type="dxa"/>
            </w:tcMar>
            <w:vAlign w:val="center"/>
          </w:tcPr>
          <w:p w14:paraId="70E1F890">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适应性</w:t>
            </w:r>
          </w:p>
        </w:tc>
        <w:tc>
          <w:tcPr>
            <w:tcW w:w="3534" w:type="pct"/>
            <w:tcMar>
              <w:top w:w="15" w:type="dxa"/>
              <w:left w:w="15" w:type="dxa"/>
              <w:right w:w="15" w:type="dxa"/>
            </w:tcMar>
            <w:vAlign w:val="center"/>
          </w:tcPr>
          <w:p w14:paraId="2809940D">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产品或系统能够有效地、有效率地适应不同的或演变的硬件、软件，或者其他运行（或使用）环境的程度。</w:t>
            </w:r>
          </w:p>
        </w:tc>
      </w:tr>
      <w:tr w14:paraId="34267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354" w:type="pct"/>
            <w:noWrap/>
            <w:tcMar>
              <w:top w:w="15" w:type="dxa"/>
              <w:left w:w="15" w:type="dxa"/>
              <w:right w:w="15" w:type="dxa"/>
            </w:tcMar>
            <w:vAlign w:val="center"/>
          </w:tcPr>
          <w:p w14:paraId="0F7CB706">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23</w:t>
            </w:r>
          </w:p>
        </w:tc>
        <w:tc>
          <w:tcPr>
            <w:tcW w:w="432" w:type="pct"/>
            <w:vMerge w:val="continue"/>
            <w:tcMar>
              <w:top w:w="15" w:type="dxa"/>
              <w:left w:w="15" w:type="dxa"/>
              <w:right w:w="15" w:type="dxa"/>
            </w:tcMar>
            <w:vAlign w:val="center"/>
          </w:tcPr>
          <w:p w14:paraId="3E860ED0">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37F30CCB">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易安装性</w:t>
            </w:r>
          </w:p>
        </w:tc>
        <w:tc>
          <w:tcPr>
            <w:tcW w:w="3534" w:type="pct"/>
            <w:tcMar>
              <w:top w:w="15" w:type="dxa"/>
              <w:left w:w="15" w:type="dxa"/>
              <w:right w:w="15" w:type="dxa"/>
            </w:tcMar>
            <w:vAlign w:val="center"/>
          </w:tcPr>
          <w:p w14:paraId="023E8950">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在指定环境中，产品或系统能够成功地安装和/或卸载的有效性和效率的程度。</w:t>
            </w:r>
          </w:p>
        </w:tc>
      </w:tr>
      <w:tr w14:paraId="7069A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354" w:type="pct"/>
            <w:noWrap/>
            <w:tcMar>
              <w:top w:w="15" w:type="dxa"/>
              <w:left w:w="15" w:type="dxa"/>
              <w:right w:w="15" w:type="dxa"/>
            </w:tcMar>
            <w:vAlign w:val="center"/>
          </w:tcPr>
          <w:p w14:paraId="42192513">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24</w:t>
            </w:r>
          </w:p>
        </w:tc>
        <w:tc>
          <w:tcPr>
            <w:tcW w:w="432" w:type="pct"/>
            <w:vMerge w:val="continue"/>
            <w:tcMar>
              <w:top w:w="15" w:type="dxa"/>
              <w:left w:w="15" w:type="dxa"/>
              <w:right w:w="15" w:type="dxa"/>
            </w:tcMar>
            <w:vAlign w:val="center"/>
          </w:tcPr>
          <w:p w14:paraId="59B028D6">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561B78E6">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易替换性</w:t>
            </w:r>
          </w:p>
        </w:tc>
        <w:tc>
          <w:tcPr>
            <w:tcW w:w="3534" w:type="pct"/>
            <w:tcMar>
              <w:top w:w="15" w:type="dxa"/>
              <w:left w:w="15" w:type="dxa"/>
              <w:right w:w="15" w:type="dxa"/>
            </w:tcMar>
            <w:vAlign w:val="center"/>
          </w:tcPr>
          <w:p w14:paraId="76FA039E">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在相同的环境中，产品能够替换另一个相同用途的指定软件产品的程度。</w:t>
            </w:r>
          </w:p>
        </w:tc>
      </w:tr>
      <w:tr w14:paraId="5F00E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354" w:type="pct"/>
            <w:noWrap/>
            <w:tcMar>
              <w:top w:w="15" w:type="dxa"/>
              <w:left w:w="15" w:type="dxa"/>
              <w:right w:w="15" w:type="dxa"/>
            </w:tcMar>
            <w:vAlign w:val="center"/>
          </w:tcPr>
          <w:p w14:paraId="20FC23E9">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25</w:t>
            </w:r>
          </w:p>
        </w:tc>
        <w:tc>
          <w:tcPr>
            <w:tcW w:w="432" w:type="pct"/>
            <w:vMerge w:val="restart"/>
            <w:tcMar>
              <w:top w:w="15" w:type="dxa"/>
              <w:left w:w="15" w:type="dxa"/>
              <w:right w:w="15" w:type="dxa"/>
            </w:tcMar>
            <w:vAlign w:val="center"/>
          </w:tcPr>
          <w:p w14:paraId="03FA599F">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维护性测试</w:t>
            </w:r>
          </w:p>
        </w:tc>
        <w:tc>
          <w:tcPr>
            <w:tcW w:w="678" w:type="pct"/>
            <w:noWrap/>
            <w:tcMar>
              <w:top w:w="15" w:type="dxa"/>
              <w:left w:w="15" w:type="dxa"/>
              <w:right w:w="15" w:type="dxa"/>
            </w:tcMar>
            <w:vAlign w:val="center"/>
          </w:tcPr>
          <w:p w14:paraId="364CD02D">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模块化</w:t>
            </w:r>
          </w:p>
        </w:tc>
        <w:tc>
          <w:tcPr>
            <w:tcW w:w="3534" w:type="pct"/>
            <w:tcMar>
              <w:top w:w="15" w:type="dxa"/>
              <w:left w:w="15" w:type="dxa"/>
              <w:right w:w="15" w:type="dxa"/>
            </w:tcMar>
            <w:vAlign w:val="center"/>
          </w:tcPr>
          <w:p w14:paraId="3BDB16A7">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由多个独立组件组成的系统或计算机程序，其中一个组件的变更对其他组件的影响最小的程度。</w:t>
            </w:r>
          </w:p>
        </w:tc>
      </w:tr>
      <w:tr w14:paraId="34D95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354" w:type="pct"/>
            <w:noWrap/>
            <w:tcMar>
              <w:top w:w="15" w:type="dxa"/>
              <w:left w:w="15" w:type="dxa"/>
              <w:right w:w="15" w:type="dxa"/>
            </w:tcMar>
            <w:vAlign w:val="center"/>
          </w:tcPr>
          <w:p w14:paraId="4105C025">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26</w:t>
            </w:r>
          </w:p>
        </w:tc>
        <w:tc>
          <w:tcPr>
            <w:tcW w:w="432" w:type="pct"/>
            <w:vMerge w:val="continue"/>
            <w:tcMar>
              <w:top w:w="15" w:type="dxa"/>
              <w:left w:w="15" w:type="dxa"/>
              <w:right w:w="15" w:type="dxa"/>
            </w:tcMar>
            <w:vAlign w:val="center"/>
          </w:tcPr>
          <w:p w14:paraId="14A93518">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3A66918A">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可重用性</w:t>
            </w:r>
          </w:p>
        </w:tc>
        <w:tc>
          <w:tcPr>
            <w:tcW w:w="3534" w:type="pct"/>
            <w:tcMar>
              <w:top w:w="15" w:type="dxa"/>
              <w:left w:w="15" w:type="dxa"/>
              <w:right w:w="15" w:type="dxa"/>
            </w:tcMar>
            <w:vAlign w:val="center"/>
          </w:tcPr>
          <w:p w14:paraId="0BEA4157">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资产能够被用于多个系统，或其他资产建设的程度。</w:t>
            </w:r>
          </w:p>
        </w:tc>
      </w:tr>
      <w:tr w14:paraId="66796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atLeast"/>
          <w:jc w:val="center"/>
        </w:trPr>
        <w:tc>
          <w:tcPr>
            <w:tcW w:w="354" w:type="pct"/>
            <w:noWrap/>
            <w:tcMar>
              <w:top w:w="15" w:type="dxa"/>
              <w:left w:w="15" w:type="dxa"/>
              <w:right w:w="15" w:type="dxa"/>
            </w:tcMar>
            <w:vAlign w:val="center"/>
          </w:tcPr>
          <w:p w14:paraId="0FFD3957">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27</w:t>
            </w:r>
          </w:p>
        </w:tc>
        <w:tc>
          <w:tcPr>
            <w:tcW w:w="432" w:type="pct"/>
            <w:vMerge w:val="continue"/>
            <w:tcMar>
              <w:top w:w="15" w:type="dxa"/>
              <w:left w:w="15" w:type="dxa"/>
              <w:right w:w="15" w:type="dxa"/>
            </w:tcMar>
            <w:vAlign w:val="center"/>
          </w:tcPr>
          <w:p w14:paraId="008D7DED">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4F248CDE">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易分析性</w:t>
            </w:r>
          </w:p>
        </w:tc>
        <w:tc>
          <w:tcPr>
            <w:tcW w:w="3534" w:type="pct"/>
            <w:tcMar>
              <w:top w:w="15" w:type="dxa"/>
              <w:left w:w="15" w:type="dxa"/>
              <w:right w:w="15" w:type="dxa"/>
            </w:tcMar>
            <w:vAlign w:val="center"/>
          </w:tcPr>
          <w:p w14:paraId="483CFB16">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可以评估预期变更（变更产品或系统的一个或多个部分）对产品或系统的影响、诊断产品的缺陷或失效原因、识别待修改部分的有效性和效率的程度。</w:t>
            </w:r>
          </w:p>
        </w:tc>
      </w:tr>
      <w:tr w14:paraId="22020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354" w:type="pct"/>
            <w:noWrap/>
            <w:tcMar>
              <w:top w:w="15" w:type="dxa"/>
              <w:left w:w="15" w:type="dxa"/>
              <w:right w:w="15" w:type="dxa"/>
            </w:tcMar>
            <w:vAlign w:val="center"/>
          </w:tcPr>
          <w:p w14:paraId="5AD19D5B">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28</w:t>
            </w:r>
          </w:p>
        </w:tc>
        <w:tc>
          <w:tcPr>
            <w:tcW w:w="432" w:type="pct"/>
            <w:vMerge w:val="continue"/>
            <w:tcMar>
              <w:top w:w="15" w:type="dxa"/>
              <w:left w:w="15" w:type="dxa"/>
              <w:right w:w="15" w:type="dxa"/>
            </w:tcMar>
            <w:vAlign w:val="center"/>
          </w:tcPr>
          <w:p w14:paraId="368E92F0">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16A7C3BA">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易修改性</w:t>
            </w:r>
          </w:p>
        </w:tc>
        <w:tc>
          <w:tcPr>
            <w:tcW w:w="3534" w:type="pct"/>
            <w:tcMar>
              <w:top w:w="15" w:type="dxa"/>
              <w:left w:w="15" w:type="dxa"/>
              <w:right w:w="15" w:type="dxa"/>
            </w:tcMar>
            <w:vAlign w:val="center"/>
          </w:tcPr>
          <w:p w14:paraId="3D0C7570">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产品或系统可以被有效地、有效率地修改，且不会引入缺陷或降低现有产品质量的程度。</w:t>
            </w:r>
          </w:p>
        </w:tc>
      </w:tr>
      <w:tr w14:paraId="74C13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atLeast"/>
          <w:jc w:val="center"/>
        </w:trPr>
        <w:tc>
          <w:tcPr>
            <w:tcW w:w="354" w:type="pct"/>
            <w:noWrap/>
            <w:tcMar>
              <w:top w:w="15" w:type="dxa"/>
              <w:left w:w="15" w:type="dxa"/>
              <w:right w:w="15" w:type="dxa"/>
            </w:tcMar>
            <w:vAlign w:val="center"/>
          </w:tcPr>
          <w:p w14:paraId="43A18BAD">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29</w:t>
            </w:r>
          </w:p>
        </w:tc>
        <w:tc>
          <w:tcPr>
            <w:tcW w:w="432" w:type="pct"/>
            <w:vMerge w:val="continue"/>
            <w:tcMar>
              <w:top w:w="15" w:type="dxa"/>
              <w:left w:w="15" w:type="dxa"/>
              <w:right w:w="15" w:type="dxa"/>
            </w:tcMar>
            <w:vAlign w:val="center"/>
          </w:tcPr>
          <w:p w14:paraId="27784CA8">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4D219695">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易测试性</w:t>
            </w:r>
          </w:p>
        </w:tc>
        <w:tc>
          <w:tcPr>
            <w:tcW w:w="3534" w:type="pct"/>
            <w:tcMar>
              <w:top w:w="15" w:type="dxa"/>
              <w:left w:w="15" w:type="dxa"/>
              <w:right w:w="15" w:type="dxa"/>
            </w:tcMar>
            <w:vAlign w:val="center"/>
          </w:tcPr>
          <w:p w14:paraId="1C9AABE5">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能够为系统、产品或组件建立测试准则，并通过测试执行来确定测试准则是否被满足的有效性和效率的程度。</w:t>
            </w:r>
          </w:p>
        </w:tc>
      </w:tr>
      <w:tr w14:paraId="1F6A9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0" w:hRule="atLeast"/>
          <w:jc w:val="center"/>
        </w:trPr>
        <w:tc>
          <w:tcPr>
            <w:tcW w:w="354" w:type="pct"/>
            <w:noWrap/>
            <w:tcMar>
              <w:top w:w="15" w:type="dxa"/>
              <w:left w:w="15" w:type="dxa"/>
              <w:right w:w="15" w:type="dxa"/>
            </w:tcMar>
            <w:vAlign w:val="center"/>
          </w:tcPr>
          <w:p w14:paraId="33FD40B4">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30</w:t>
            </w:r>
          </w:p>
        </w:tc>
        <w:tc>
          <w:tcPr>
            <w:tcW w:w="432" w:type="pct"/>
            <w:vMerge w:val="restart"/>
            <w:tcMar>
              <w:top w:w="15" w:type="dxa"/>
              <w:left w:w="15" w:type="dxa"/>
              <w:right w:w="15" w:type="dxa"/>
            </w:tcMar>
            <w:vAlign w:val="center"/>
          </w:tcPr>
          <w:p w14:paraId="15A8073E">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用户文档集测试</w:t>
            </w:r>
          </w:p>
        </w:tc>
        <w:tc>
          <w:tcPr>
            <w:tcW w:w="678" w:type="pct"/>
            <w:noWrap/>
            <w:tcMar>
              <w:top w:w="15" w:type="dxa"/>
              <w:left w:w="15" w:type="dxa"/>
              <w:right w:w="15" w:type="dxa"/>
            </w:tcMar>
            <w:vAlign w:val="center"/>
          </w:tcPr>
          <w:p w14:paraId="6A2AA4CC">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完备性</w:t>
            </w:r>
          </w:p>
        </w:tc>
        <w:tc>
          <w:tcPr>
            <w:tcW w:w="3534" w:type="pct"/>
            <w:noWrap/>
            <w:tcMar>
              <w:top w:w="15" w:type="dxa"/>
              <w:left w:w="15" w:type="dxa"/>
              <w:right w:w="15" w:type="dxa"/>
            </w:tcMar>
            <w:vAlign w:val="center"/>
          </w:tcPr>
          <w:p w14:paraId="010106B2">
            <w:pPr>
              <w:widowControl/>
              <w:spacing w:line="540" w:lineRule="exac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用户文档完整地说明软件包</w:t>
            </w:r>
            <w:r>
              <w:rPr>
                <w:rStyle w:val="19"/>
                <w:rFonts w:hint="eastAsia" w:ascii="Times New Roman" w:hAnsi="Times New Roman" w:eastAsia="仿宋_GB2312" w:cs="仿宋_GB2312"/>
                <w:sz w:val="22"/>
                <w:szCs w:val="22"/>
                <w:lang w:bidi="ar"/>
              </w:rPr>
              <w:t>的</w:t>
            </w:r>
            <w:r>
              <w:rPr>
                <w:rFonts w:hint="eastAsia" w:ascii="Times New Roman" w:hAnsi="Times New Roman" w:eastAsia="仿宋_GB2312" w:cs="仿宋_GB2312"/>
                <w:color w:val="000000"/>
                <w:kern w:val="0"/>
                <w:sz w:val="22"/>
                <w:szCs w:val="22"/>
                <w:lang w:bidi="ar"/>
              </w:rPr>
              <w:t>功能以及在程序中用户可以调用的功能。</w:t>
            </w:r>
          </w:p>
        </w:tc>
      </w:tr>
      <w:tr w14:paraId="7A8AE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354" w:type="pct"/>
            <w:noWrap/>
            <w:tcMar>
              <w:top w:w="15" w:type="dxa"/>
              <w:left w:w="15" w:type="dxa"/>
              <w:right w:w="15" w:type="dxa"/>
            </w:tcMar>
            <w:vAlign w:val="center"/>
          </w:tcPr>
          <w:p w14:paraId="56A223D4">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31</w:t>
            </w:r>
          </w:p>
        </w:tc>
        <w:tc>
          <w:tcPr>
            <w:tcW w:w="432" w:type="pct"/>
            <w:vMerge w:val="continue"/>
            <w:tcMar>
              <w:top w:w="15" w:type="dxa"/>
              <w:left w:w="15" w:type="dxa"/>
              <w:right w:w="15" w:type="dxa"/>
            </w:tcMar>
            <w:vAlign w:val="center"/>
          </w:tcPr>
          <w:p w14:paraId="25455119">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6F44FC67">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正确性</w:t>
            </w:r>
          </w:p>
        </w:tc>
        <w:tc>
          <w:tcPr>
            <w:tcW w:w="3534" w:type="pct"/>
            <w:tcMar>
              <w:top w:w="15" w:type="dxa"/>
              <w:left w:w="15" w:type="dxa"/>
              <w:right w:w="15" w:type="dxa"/>
            </w:tcMar>
            <w:vAlign w:val="center"/>
          </w:tcPr>
          <w:p w14:paraId="4493F0D5">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所检测用户文档的信息正确，没有歧义和错误的信息。</w:t>
            </w:r>
          </w:p>
        </w:tc>
      </w:tr>
      <w:tr w14:paraId="1BA59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atLeast"/>
          <w:jc w:val="center"/>
        </w:trPr>
        <w:tc>
          <w:tcPr>
            <w:tcW w:w="354" w:type="pct"/>
            <w:noWrap/>
            <w:tcMar>
              <w:top w:w="15" w:type="dxa"/>
              <w:left w:w="15" w:type="dxa"/>
              <w:right w:w="15" w:type="dxa"/>
            </w:tcMar>
            <w:vAlign w:val="center"/>
          </w:tcPr>
          <w:p w14:paraId="3DD1CF54">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32</w:t>
            </w:r>
          </w:p>
        </w:tc>
        <w:tc>
          <w:tcPr>
            <w:tcW w:w="432" w:type="pct"/>
            <w:vMerge w:val="continue"/>
            <w:tcMar>
              <w:top w:w="15" w:type="dxa"/>
              <w:left w:w="15" w:type="dxa"/>
              <w:right w:w="15" w:type="dxa"/>
            </w:tcMar>
            <w:vAlign w:val="center"/>
          </w:tcPr>
          <w:p w14:paraId="350BAA8C">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1B9A9F51">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一致性</w:t>
            </w:r>
          </w:p>
        </w:tc>
        <w:tc>
          <w:tcPr>
            <w:tcW w:w="3534" w:type="pct"/>
            <w:tcMar>
              <w:top w:w="15" w:type="dxa"/>
              <w:left w:w="15" w:type="dxa"/>
              <w:right w:w="15" w:type="dxa"/>
            </w:tcMar>
            <w:vAlign w:val="center"/>
          </w:tcPr>
          <w:p w14:paraId="15DEB3D4">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所检测用户文档自身内容或相互之间没有矛盾，并且不与产品说明矛盾每个术语的含义在文档中保持一致。</w:t>
            </w:r>
          </w:p>
        </w:tc>
      </w:tr>
      <w:tr w14:paraId="0EAA7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0" w:hRule="atLeast"/>
          <w:jc w:val="center"/>
        </w:trPr>
        <w:tc>
          <w:tcPr>
            <w:tcW w:w="354" w:type="pct"/>
            <w:noWrap/>
            <w:tcMar>
              <w:top w:w="15" w:type="dxa"/>
              <w:left w:w="15" w:type="dxa"/>
              <w:right w:w="15" w:type="dxa"/>
            </w:tcMar>
            <w:vAlign w:val="center"/>
          </w:tcPr>
          <w:p w14:paraId="3ABF0C6A">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33</w:t>
            </w:r>
          </w:p>
        </w:tc>
        <w:tc>
          <w:tcPr>
            <w:tcW w:w="432" w:type="pct"/>
            <w:vMerge w:val="continue"/>
            <w:tcMar>
              <w:top w:w="15" w:type="dxa"/>
              <w:left w:w="15" w:type="dxa"/>
              <w:right w:w="15" w:type="dxa"/>
            </w:tcMar>
            <w:vAlign w:val="center"/>
          </w:tcPr>
          <w:p w14:paraId="4E4C1B45">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58BEFAF5">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易理解性</w:t>
            </w:r>
          </w:p>
        </w:tc>
        <w:tc>
          <w:tcPr>
            <w:tcW w:w="3534" w:type="pct"/>
            <w:tcMar>
              <w:top w:w="15" w:type="dxa"/>
              <w:left w:w="15" w:type="dxa"/>
              <w:right w:w="15" w:type="dxa"/>
            </w:tcMar>
            <w:vAlign w:val="center"/>
          </w:tcPr>
          <w:p w14:paraId="31AE817D">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所检测用户文档对正常执行工作任务的一般用户是易理解的，通过使用适当的术语、大量的图形表示、详细的解释以及引用有用的信息源来表达。</w:t>
            </w:r>
          </w:p>
        </w:tc>
      </w:tr>
      <w:tr w14:paraId="54892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354" w:type="pct"/>
            <w:noWrap/>
            <w:tcMar>
              <w:top w:w="15" w:type="dxa"/>
              <w:left w:w="15" w:type="dxa"/>
              <w:right w:w="15" w:type="dxa"/>
            </w:tcMar>
            <w:vAlign w:val="center"/>
          </w:tcPr>
          <w:p w14:paraId="3C60CDC0">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34</w:t>
            </w:r>
          </w:p>
        </w:tc>
        <w:tc>
          <w:tcPr>
            <w:tcW w:w="432" w:type="pct"/>
            <w:vMerge w:val="continue"/>
            <w:tcMar>
              <w:top w:w="15" w:type="dxa"/>
              <w:left w:w="15" w:type="dxa"/>
              <w:right w:w="15" w:type="dxa"/>
            </w:tcMar>
            <w:vAlign w:val="center"/>
          </w:tcPr>
          <w:p w14:paraId="68C20CC0">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776FFEF5">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易学性</w:t>
            </w:r>
          </w:p>
        </w:tc>
        <w:tc>
          <w:tcPr>
            <w:tcW w:w="3534" w:type="pct"/>
            <w:tcMar>
              <w:top w:w="15" w:type="dxa"/>
              <w:left w:w="15" w:type="dxa"/>
              <w:right w:w="15" w:type="dxa"/>
            </w:tcMar>
            <w:vAlign w:val="center"/>
          </w:tcPr>
          <w:p w14:paraId="1E94FBB6">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所检测用户文档可为用户学会如何使用该软件提供帮助。</w:t>
            </w:r>
          </w:p>
        </w:tc>
      </w:tr>
      <w:tr w14:paraId="296B1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354" w:type="pct"/>
            <w:noWrap/>
            <w:tcMar>
              <w:top w:w="15" w:type="dxa"/>
              <w:left w:w="15" w:type="dxa"/>
              <w:right w:w="15" w:type="dxa"/>
            </w:tcMar>
            <w:vAlign w:val="center"/>
          </w:tcPr>
          <w:p w14:paraId="2DCD168C">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35</w:t>
            </w:r>
          </w:p>
        </w:tc>
        <w:tc>
          <w:tcPr>
            <w:tcW w:w="432" w:type="pct"/>
            <w:vMerge w:val="continue"/>
            <w:tcMar>
              <w:top w:w="15" w:type="dxa"/>
              <w:left w:w="15" w:type="dxa"/>
              <w:right w:w="15" w:type="dxa"/>
            </w:tcMar>
            <w:vAlign w:val="center"/>
          </w:tcPr>
          <w:p w14:paraId="2FE6BB79">
            <w:pPr>
              <w:spacing w:line="540" w:lineRule="exact"/>
              <w:jc w:val="center"/>
              <w:rPr>
                <w:rFonts w:hint="eastAsia" w:ascii="Times New Roman" w:hAnsi="Times New Roman" w:eastAsia="仿宋_GB2312" w:cs="仿宋_GB2312"/>
                <w:color w:val="000000"/>
                <w:sz w:val="22"/>
                <w:szCs w:val="22"/>
              </w:rPr>
            </w:pPr>
          </w:p>
        </w:tc>
        <w:tc>
          <w:tcPr>
            <w:tcW w:w="678" w:type="pct"/>
            <w:noWrap/>
            <w:tcMar>
              <w:top w:w="15" w:type="dxa"/>
              <w:left w:w="15" w:type="dxa"/>
              <w:right w:w="15" w:type="dxa"/>
            </w:tcMar>
            <w:vAlign w:val="center"/>
          </w:tcPr>
          <w:p w14:paraId="41B2D6CA">
            <w:pPr>
              <w:widowControl/>
              <w:spacing w:line="540" w:lineRule="exact"/>
              <w:jc w:val="center"/>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可操作性</w:t>
            </w:r>
          </w:p>
        </w:tc>
        <w:tc>
          <w:tcPr>
            <w:tcW w:w="3534" w:type="pct"/>
            <w:tcMar>
              <w:top w:w="15" w:type="dxa"/>
              <w:left w:w="15" w:type="dxa"/>
              <w:right w:w="15" w:type="dxa"/>
            </w:tcMar>
            <w:vAlign w:val="center"/>
          </w:tcPr>
          <w:p w14:paraId="04E6E851">
            <w:pPr>
              <w:widowControl/>
              <w:spacing w:line="540" w:lineRule="exact"/>
              <w:jc w:val="left"/>
              <w:textAlignment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kern w:val="0"/>
                <w:sz w:val="22"/>
                <w:szCs w:val="22"/>
                <w:lang w:bidi="ar"/>
              </w:rPr>
              <w:t>所检测的用户文档都有详细的目录表。</w:t>
            </w:r>
          </w:p>
        </w:tc>
      </w:tr>
    </w:tbl>
    <w:p w14:paraId="0C43A482">
      <w:pPr>
        <w:wordWrap w:val="0"/>
        <w:spacing w:line="540" w:lineRule="exact"/>
        <w:rPr>
          <w:rFonts w:hint="eastAsia" w:ascii="Times New Roman" w:hAnsi="Times New Roman" w:eastAsia="仿宋_GB2312" w:cs="仿宋_GB2312"/>
          <w:sz w:val="28"/>
          <w:szCs w:val="28"/>
        </w:rPr>
      </w:pPr>
    </w:p>
    <w:p w14:paraId="7C7DE596">
      <w:pPr>
        <w:pStyle w:val="2"/>
        <w:numPr>
          <w:ilvl w:val="0"/>
          <w:numId w:val="2"/>
        </w:numPr>
        <w:spacing w:before="0" w:after="0" w:line="540" w:lineRule="exact"/>
        <w:ind w:firstLine="560" w:firstLineChars="200"/>
        <w:jc w:val="left"/>
        <w:rPr>
          <w:rFonts w:hint="eastAsia" w:ascii="Times New Roman" w:hAnsi="Times New Roman" w:eastAsia="黑体" w:cs="黑体"/>
          <w:b w:val="0"/>
          <w:color w:val="000000"/>
          <w:sz w:val="28"/>
          <w:szCs w:val="28"/>
        </w:rPr>
      </w:pPr>
      <w:r>
        <w:rPr>
          <w:rFonts w:hint="eastAsia" w:ascii="Times New Roman" w:hAnsi="Times New Roman" w:eastAsia="黑体" w:cs="黑体"/>
          <w:b w:val="0"/>
          <w:color w:val="000000"/>
          <w:sz w:val="28"/>
          <w:szCs w:val="28"/>
        </w:rPr>
        <w:t>服务要求</w:t>
      </w:r>
    </w:p>
    <w:p w14:paraId="1B4405EB">
      <w:pPr>
        <w:spacing w:line="540" w:lineRule="exact"/>
        <w:ind w:firstLine="561" w:firstLineChars="200"/>
        <w:textAlignment w:val="baseline"/>
        <w:rPr>
          <w:rFonts w:ascii="Times New Roman" w:hAnsi="Times New Roman" w:eastAsia="华文仿宋" w:cs="仿宋_GB2312"/>
          <w:b/>
          <w:bCs/>
          <w:color w:val="000000"/>
          <w:sz w:val="28"/>
          <w:szCs w:val="28"/>
        </w:rPr>
      </w:pPr>
      <w:bookmarkStart w:id="0" w:name="_Toc133369265"/>
      <w:r>
        <w:rPr>
          <w:rFonts w:hint="eastAsia" w:ascii="Times New Roman" w:hAnsi="Times New Roman" w:eastAsia="华文仿宋" w:cs="仿宋_GB2312"/>
          <w:b/>
          <w:bCs/>
          <w:color w:val="000000"/>
          <w:sz w:val="28"/>
          <w:szCs w:val="28"/>
        </w:rPr>
        <w:t>（一）服务内容及范围</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4"/>
        <w:gridCol w:w="1704"/>
        <w:gridCol w:w="6493"/>
      </w:tblGrid>
      <w:tr w14:paraId="75B14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pct"/>
            <w:shd w:val="clear" w:color="auto" w:fill="BEBEBE"/>
            <w:vAlign w:val="center"/>
          </w:tcPr>
          <w:p w14:paraId="1BA3CB5C">
            <w:pPr>
              <w:spacing w:line="540" w:lineRule="exact"/>
              <w:jc w:val="center"/>
              <w:rPr>
                <w:rFonts w:hint="eastAsia" w:ascii="Times New Roman" w:hAnsi="Times New Roman" w:eastAsia="仿宋_GB2312" w:cs="仿宋_GB2312"/>
                <w:color w:val="000000"/>
                <w:sz w:val="24"/>
              </w:rPr>
            </w:pPr>
            <w:r>
              <w:rPr>
                <w:rFonts w:hint="eastAsia" w:ascii="Times New Roman" w:hAnsi="Times New Roman" w:eastAsia="仿宋_GB2312" w:cs="仿宋_GB2312"/>
                <w:color w:val="000000"/>
                <w:sz w:val="24"/>
              </w:rPr>
              <w:t>序号</w:t>
            </w:r>
          </w:p>
        </w:tc>
        <w:tc>
          <w:tcPr>
            <w:tcW w:w="940" w:type="pct"/>
            <w:shd w:val="clear" w:color="auto" w:fill="BEBEBE"/>
            <w:vAlign w:val="center"/>
          </w:tcPr>
          <w:p w14:paraId="75BD4ABB">
            <w:pPr>
              <w:spacing w:line="540" w:lineRule="exact"/>
              <w:jc w:val="center"/>
              <w:rPr>
                <w:rFonts w:hint="eastAsia" w:ascii="Times New Roman" w:hAnsi="Times New Roman" w:eastAsia="仿宋_GB2312" w:cs="仿宋_GB2312"/>
                <w:color w:val="000000"/>
                <w:sz w:val="24"/>
              </w:rPr>
            </w:pPr>
            <w:r>
              <w:rPr>
                <w:rFonts w:hint="eastAsia" w:ascii="Times New Roman" w:hAnsi="Times New Roman" w:eastAsia="仿宋_GB2312" w:cs="仿宋_GB2312"/>
                <w:color w:val="000000"/>
                <w:sz w:val="24"/>
              </w:rPr>
              <w:t>服务内容</w:t>
            </w:r>
          </w:p>
        </w:tc>
        <w:tc>
          <w:tcPr>
            <w:tcW w:w="3582" w:type="pct"/>
            <w:shd w:val="clear" w:color="auto" w:fill="BEBEBE"/>
            <w:vAlign w:val="center"/>
          </w:tcPr>
          <w:p w14:paraId="79E8DE9E">
            <w:pPr>
              <w:spacing w:line="540" w:lineRule="exact"/>
              <w:jc w:val="center"/>
              <w:rPr>
                <w:rFonts w:hint="eastAsia" w:ascii="Times New Roman" w:hAnsi="Times New Roman" w:eastAsia="仿宋_GB2312" w:cs="仿宋_GB2312"/>
                <w:sz w:val="24"/>
              </w:rPr>
            </w:pPr>
            <w:r>
              <w:rPr>
                <w:rFonts w:hint="eastAsia" w:ascii="Times New Roman" w:hAnsi="Times New Roman" w:eastAsia="仿宋_GB2312" w:cs="仿宋_GB2312"/>
                <w:color w:val="000000"/>
                <w:sz w:val="24"/>
              </w:rPr>
              <w:t>系统名称</w:t>
            </w:r>
          </w:p>
        </w:tc>
      </w:tr>
      <w:tr w14:paraId="76161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77" w:type="pct"/>
            <w:shd w:val="clear" w:color="auto" w:fill="auto"/>
            <w:vAlign w:val="center"/>
          </w:tcPr>
          <w:p w14:paraId="2D431F51">
            <w:pPr>
              <w:spacing w:line="540" w:lineRule="exact"/>
              <w:jc w:val="center"/>
              <w:rPr>
                <w:rFonts w:hint="eastAsia" w:ascii="Times New Roman" w:hAnsi="Times New Roman" w:eastAsia="仿宋_GB2312" w:cs="仿宋_GB2312"/>
                <w:sz w:val="24"/>
              </w:rPr>
            </w:pPr>
            <w:r>
              <w:rPr>
                <w:rFonts w:hint="eastAsia" w:ascii="Times New Roman" w:hAnsi="Times New Roman" w:eastAsia="仿宋_GB2312" w:cs="仿宋_GB2312"/>
                <w:sz w:val="24"/>
              </w:rPr>
              <w:t>1</w:t>
            </w:r>
          </w:p>
        </w:tc>
        <w:tc>
          <w:tcPr>
            <w:tcW w:w="940" w:type="pct"/>
            <w:shd w:val="clear" w:color="auto" w:fill="auto"/>
            <w:vAlign w:val="center"/>
          </w:tcPr>
          <w:p w14:paraId="0315327B">
            <w:pPr>
              <w:spacing w:line="540" w:lineRule="exact"/>
              <w:jc w:val="center"/>
              <w:rPr>
                <w:rFonts w:hint="eastAsia" w:ascii="Times New Roman" w:hAnsi="Times New Roman" w:eastAsia="仿宋_GB2312" w:cs="仿宋_GB2312"/>
                <w:sz w:val="24"/>
              </w:rPr>
            </w:pPr>
            <w:r>
              <w:rPr>
                <w:rFonts w:hint="eastAsia" w:ascii="Times New Roman" w:hAnsi="Times New Roman" w:eastAsia="仿宋_GB2312" w:cs="仿宋_GB2312"/>
                <w:color w:val="000000"/>
                <w:sz w:val="24"/>
              </w:rPr>
              <w:t>软件测试服务</w:t>
            </w:r>
          </w:p>
        </w:tc>
        <w:tc>
          <w:tcPr>
            <w:tcW w:w="3582" w:type="pct"/>
            <w:shd w:val="clear" w:color="auto" w:fill="auto"/>
            <w:vAlign w:val="center"/>
          </w:tcPr>
          <w:p w14:paraId="5F3E5A2B">
            <w:pPr>
              <w:spacing w:line="540" w:lineRule="exact"/>
              <w:jc w:val="center"/>
              <w:rPr>
                <w:rFonts w:hint="eastAsia" w:ascii="Times New Roman" w:hAnsi="Times New Roman" w:eastAsia="仿宋_GB2312" w:cs="仿宋_GB2312"/>
                <w:sz w:val="24"/>
              </w:rPr>
            </w:pPr>
            <w:r>
              <w:rPr>
                <w:rFonts w:hint="eastAsia" w:ascii="Times New Roman" w:hAnsi="Times New Roman" w:eastAsia="仿宋_GB2312" w:cs="仿宋_GB2312"/>
                <w:sz w:val="24"/>
              </w:rPr>
              <w:t>东湖高新区社会治理中心信息化项目第三方软件测试服务</w:t>
            </w:r>
          </w:p>
        </w:tc>
      </w:tr>
    </w:tbl>
    <w:p w14:paraId="48FF0E9F">
      <w:pPr>
        <w:spacing w:line="540" w:lineRule="exact"/>
        <w:ind w:firstLine="560" w:firstLineChars="200"/>
        <w:textAlignment w:val="baseline"/>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根据相关文件及标准要求，对招标方需要进行测试的信息系统进行软件测试包括，功能、性能、兼容性、可靠性、易用性、信息安全性、维护性、可移植性、用户文档集测试，出具符合要求的相关报告。</w:t>
      </w:r>
    </w:p>
    <w:p w14:paraId="7BE0CEB0">
      <w:pPr>
        <w:spacing w:line="540" w:lineRule="exact"/>
        <w:ind w:firstLine="562" w:firstLineChars="200"/>
        <w:textAlignment w:val="baseline"/>
        <w:rPr>
          <w:rFonts w:hint="eastAsia" w:ascii="Times New Roman" w:hAnsi="Times New Roman" w:eastAsia="仿宋_GB2312" w:cs="仿宋_GB2312"/>
          <w:b/>
          <w:bCs/>
          <w:color w:val="000000"/>
          <w:sz w:val="28"/>
          <w:szCs w:val="28"/>
        </w:rPr>
      </w:pPr>
      <w:r>
        <w:rPr>
          <w:rFonts w:hint="eastAsia" w:ascii="Times New Roman" w:hAnsi="Times New Roman" w:eastAsia="仿宋_GB2312" w:cs="仿宋_GB2312"/>
          <w:b/>
          <w:bCs/>
          <w:color w:val="000000"/>
          <w:sz w:val="28"/>
          <w:szCs w:val="28"/>
        </w:rPr>
        <w:t>（二）工作内容</w:t>
      </w:r>
    </w:p>
    <w:p w14:paraId="7A662979">
      <w:pPr>
        <w:pStyle w:val="22"/>
        <w:spacing w:line="540" w:lineRule="exact"/>
        <w:ind w:firstLine="560"/>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1、结论报告</w:t>
      </w:r>
    </w:p>
    <w:p w14:paraId="3C520AC2">
      <w:pPr>
        <w:pStyle w:val="22"/>
        <w:spacing w:line="540" w:lineRule="exact"/>
        <w:ind w:firstLine="560"/>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依据《系统与软件工程系统与软件质量要求和评价（SQuaRE）第51部分：就绪可用软件产品（RUSP）的质量要求和测试细则GB/T25000.51-2016》、GB/T25000.10-2016《系统与软件工程系统与软件质量要求和评价（SquaRE）第10部分：系统与软件质量模型》等标准的要求，对招标方需要进行软件测试，出具符合要求的相关报告。</w:t>
      </w:r>
    </w:p>
    <w:p w14:paraId="32737B6F">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2、回归测试</w:t>
      </w:r>
    </w:p>
    <w:p w14:paraId="13532BB1">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采购方完成项目问题整改后，对整改后的信息系统进行复测，出具正式的相关报告。</w:t>
      </w:r>
    </w:p>
    <w:p w14:paraId="78BFDB05">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3、相关标准规范</w:t>
      </w:r>
    </w:p>
    <w:p w14:paraId="73425815">
      <w:pPr>
        <w:pStyle w:val="4"/>
        <w:spacing w:line="540" w:lineRule="exact"/>
        <w:ind w:firstLine="560"/>
        <w:rPr>
          <w:rFonts w:hint="eastAsia" w:ascii="Times New Roman" w:hAnsi="Times New Roman" w:eastAsia="仿宋_GB2312" w:cs="仿宋_GB2312"/>
          <w:color w:val="000000"/>
          <w:szCs w:val="22"/>
        </w:rPr>
      </w:pPr>
      <w:r>
        <w:rPr>
          <w:rFonts w:hint="eastAsia" w:ascii="Times New Roman" w:hAnsi="Times New Roman" w:eastAsia="仿宋_GB2312" w:cs="仿宋_GB2312"/>
          <w:color w:val="000000"/>
          <w:szCs w:val="22"/>
        </w:rPr>
        <w:t>采购内容需求执行的国家相关标准、行业标准、地方标准或者其他标准、规范。</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4259"/>
        <w:gridCol w:w="2766"/>
      </w:tblGrid>
      <w:tr w14:paraId="52AE0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BEBEBE"/>
            <w:vAlign w:val="center"/>
          </w:tcPr>
          <w:p w14:paraId="533A14D7">
            <w:pPr>
              <w:autoSpaceDE w:val="0"/>
              <w:autoSpaceDN w:val="0"/>
              <w:adjustRightInd w:val="0"/>
              <w:spacing w:line="540" w:lineRule="exact"/>
              <w:jc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sz w:val="22"/>
                <w:szCs w:val="22"/>
              </w:rPr>
              <w:t>序号</w:t>
            </w:r>
          </w:p>
        </w:tc>
        <w:tc>
          <w:tcPr>
            <w:tcW w:w="4259" w:type="dxa"/>
            <w:shd w:val="clear" w:color="auto" w:fill="BEBEBE"/>
            <w:vAlign w:val="center"/>
          </w:tcPr>
          <w:p w14:paraId="763E55A4">
            <w:pPr>
              <w:autoSpaceDE w:val="0"/>
              <w:autoSpaceDN w:val="0"/>
              <w:adjustRightInd w:val="0"/>
              <w:spacing w:line="540" w:lineRule="exact"/>
              <w:jc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sz w:val="22"/>
                <w:szCs w:val="22"/>
              </w:rPr>
              <w:t>名称</w:t>
            </w:r>
          </w:p>
        </w:tc>
        <w:tc>
          <w:tcPr>
            <w:tcW w:w="2766" w:type="dxa"/>
            <w:shd w:val="clear" w:color="auto" w:fill="BEBEBE"/>
            <w:vAlign w:val="center"/>
          </w:tcPr>
          <w:p w14:paraId="5068771A">
            <w:pPr>
              <w:autoSpaceDE w:val="0"/>
              <w:autoSpaceDN w:val="0"/>
              <w:adjustRightInd w:val="0"/>
              <w:spacing w:line="540" w:lineRule="exact"/>
              <w:jc w:val="center"/>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sz w:val="22"/>
                <w:szCs w:val="22"/>
              </w:rPr>
              <w:t>标号或文号</w:t>
            </w:r>
          </w:p>
        </w:tc>
      </w:tr>
      <w:tr w14:paraId="7D699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79D47841">
            <w:pPr>
              <w:autoSpaceDE w:val="0"/>
              <w:autoSpaceDN w:val="0"/>
              <w:adjustRightInd w:val="0"/>
              <w:spacing w:line="540" w:lineRule="exact"/>
              <w:jc w:val="left"/>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sz w:val="22"/>
                <w:szCs w:val="22"/>
              </w:rPr>
              <w:t>1</w:t>
            </w:r>
          </w:p>
        </w:tc>
        <w:tc>
          <w:tcPr>
            <w:tcW w:w="4259" w:type="dxa"/>
            <w:shd w:val="clear" w:color="auto" w:fill="auto"/>
            <w:vAlign w:val="center"/>
          </w:tcPr>
          <w:p w14:paraId="67164D92">
            <w:pPr>
              <w:autoSpaceDE w:val="0"/>
              <w:autoSpaceDN w:val="0"/>
              <w:adjustRightInd w:val="0"/>
              <w:spacing w:line="540" w:lineRule="exact"/>
              <w:jc w:val="left"/>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sz w:val="22"/>
                <w:szCs w:val="22"/>
              </w:rPr>
              <w:t>《系统与软件工程系统与软件质量要求和评价（SQuaRE）第51部分：就绪可用软件产品（RUSP）的质量要求和测试细则</w:t>
            </w:r>
          </w:p>
        </w:tc>
        <w:tc>
          <w:tcPr>
            <w:tcW w:w="2766" w:type="dxa"/>
            <w:shd w:val="clear" w:color="auto" w:fill="auto"/>
            <w:vAlign w:val="center"/>
          </w:tcPr>
          <w:p w14:paraId="5DAAD2E6">
            <w:pPr>
              <w:autoSpaceDE w:val="0"/>
              <w:autoSpaceDN w:val="0"/>
              <w:adjustRightInd w:val="0"/>
              <w:spacing w:line="540" w:lineRule="exact"/>
              <w:jc w:val="left"/>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sz w:val="22"/>
                <w:szCs w:val="22"/>
              </w:rPr>
              <w:t>GB/T25000.51-2016》</w:t>
            </w:r>
          </w:p>
        </w:tc>
      </w:tr>
      <w:tr w14:paraId="58125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1" w:type="dxa"/>
            <w:shd w:val="clear" w:color="auto" w:fill="auto"/>
            <w:vAlign w:val="center"/>
          </w:tcPr>
          <w:p w14:paraId="57672444">
            <w:pPr>
              <w:autoSpaceDE w:val="0"/>
              <w:autoSpaceDN w:val="0"/>
              <w:adjustRightInd w:val="0"/>
              <w:spacing w:line="540" w:lineRule="exact"/>
              <w:jc w:val="left"/>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sz w:val="22"/>
                <w:szCs w:val="22"/>
              </w:rPr>
              <w:t>2</w:t>
            </w:r>
          </w:p>
        </w:tc>
        <w:tc>
          <w:tcPr>
            <w:tcW w:w="4259" w:type="dxa"/>
            <w:shd w:val="clear" w:color="auto" w:fill="auto"/>
            <w:vAlign w:val="center"/>
          </w:tcPr>
          <w:p w14:paraId="2AE73B04">
            <w:pPr>
              <w:autoSpaceDE w:val="0"/>
              <w:autoSpaceDN w:val="0"/>
              <w:adjustRightInd w:val="0"/>
              <w:spacing w:line="540" w:lineRule="exact"/>
              <w:jc w:val="left"/>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sz w:val="22"/>
                <w:szCs w:val="22"/>
              </w:rPr>
              <w:t>《系统与软件工程系统与软件质量要求和评价（SquaRE）第10部分：系统与软件质量模型》</w:t>
            </w:r>
          </w:p>
        </w:tc>
        <w:tc>
          <w:tcPr>
            <w:tcW w:w="2766" w:type="dxa"/>
            <w:shd w:val="clear" w:color="auto" w:fill="auto"/>
            <w:vAlign w:val="center"/>
          </w:tcPr>
          <w:p w14:paraId="03CFDB07">
            <w:pPr>
              <w:autoSpaceDE w:val="0"/>
              <w:autoSpaceDN w:val="0"/>
              <w:adjustRightInd w:val="0"/>
              <w:spacing w:line="540" w:lineRule="exact"/>
              <w:jc w:val="left"/>
              <w:rPr>
                <w:rFonts w:hint="eastAsia" w:ascii="Times New Roman" w:hAnsi="Times New Roman" w:eastAsia="仿宋_GB2312" w:cs="仿宋_GB2312"/>
                <w:color w:val="000000"/>
                <w:sz w:val="22"/>
                <w:szCs w:val="22"/>
              </w:rPr>
            </w:pPr>
            <w:r>
              <w:rPr>
                <w:rFonts w:hint="eastAsia" w:ascii="Times New Roman" w:hAnsi="Times New Roman" w:eastAsia="仿宋_GB2312" w:cs="仿宋_GB2312"/>
                <w:color w:val="000000"/>
                <w:sz w:val="22"/>
                <w:szCs w:val="22"/>
              </w:rPr>
              <w:t>GB/T25000.10-2016</w:t>
            </w:r>
          </w:p>
        </w:tc>
      </w:tr>
    </w:tbl>
    <w:p w14:paraId="19EDDB66">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4、测评实施原则</w:t>
      </w:r>
    </w:p>
    <w:p w14:paraId="5506A022">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在项目实施过程中必须满足以下原则：</w:t>
      </w:r>
    </w:p>
    <w:p w14:paraId="7A3A2E83">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保密原则：对实施的过程数据和结果数据严格保密，未经授权不得泄露给任何单位和个人，不得利用此数据进行任何侵害招标方的行为。</w:t>
      </w:r>
    </w:p>
    <w:p w14:paraId="25174297">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标准性原则：项目的设计与实施应依据相关标准和规范进行。</w:t>
      </w:r>
    </w:p>
    <w:p w14:paraId="08625D05">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规范性原则：投标方的工作中的过程和文档，具有很好的规范性，可以便于项目的跟踪和控制。</w:t>
      </w:r>
    </w:p>
    <w:p w14:paraId="40974B34">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可控性原则：项目安排工作进度要跟上进度表的安排，保证工作的可控性。</w:t>
      </w:r>
    </w:p>
    <w:p w14:paraId="072CE130">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最小影响原则：实施工作应尽可能小地影响系统和网络，并在可控范围内；不能对现有信息系统的正常运行、业务的正常开展产生任何影响。</w:t>
      </w:r>
    </w:p>
    <w:p w14:paraId="5FC79300">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整体性原则：项目实施的范围和内容应当整体全面，涵盖服务范围内的每一个功能点。</w:t>
      </w:r>
    </w:p>
    <w:p w14:paraId="065F596B">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（三）整体要求</w:t>
      </w:r>
    </w:p>
    <w:p w14:paraId="2305FF37">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1、投标人应详细描述本次软件测试整体实施方案，包括项目概述、计划方案、实施过程中需使用测试设备清单、时间安排、阶段性文档提交等。</w:t>
      </w:r>
    </w:p>
    <w:p w14:paraId="11A7E276">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2、投标人应详细描述测评人员的组成、以及各自职责的划分。</w:t>
      </w:r>
    </w:p>
    <w:p w14:paraId="6DD85C69">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3、供应商必须具备丰富的项目经验，参与项目的测评人员不少于3人；供应商应持有中国信息安全测评中心颁发的信息安全服务资质证书（安全工程类一级）或质量管理体系认证证书（ISO9001）或软件企业证书。</w:t>
      </w:r>
    </w:p>
    <w:p w14:paraId="19138D65">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4、本次软件实施过程中所使用到的各种工具软件应符合国家相关要求，经招标人确认后由投标人提供并在软件测试中使用。</w:t>
      </w:r>
    </w:p>
    <w:p w14:paraId="2B44BE1A">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5、投标人应指定参与项目的测评人员具有工业和信息化教育与考试中心颁发的软件测试专业技能证书。</w:t>
      </w:r>
    </w:p>
    <w:p w14:paraId="66183FE7">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（四）专用工具要求</w:t>
      </w:r>
    </w:p>
    <w:p w14:paraId="4B5866D2">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本项目涉及工程实施和验收测试所需的工具，由投标方负责提供。在使用前，应对工具进行测评，如果需要则对工具进行软件升级。</w:t>
      </w:r>
    </w:p>
    <w:p w14:paraId="196D6154">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（五）安全管理要求</w:t>
      </w:r>
    </w:p>
    <w:p w14:paraId="143BA198">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为做好全过程的安全保密工作，在项目实施前、中、后三个阶段都要做好安全保密工作。</w:t>
      </w:r>
    </w:p>
    <w:p w14:paraId="4EB30209">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（1）项目实施前</w:t>
      </w:r>
    </w:p>
    <w:p w14:paraId="4461E77D">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1、对实施人员要进行安全保密教育，制定安全保密措施；</w:t>
      </w:r>
    </w:p>
    <w:p w14:paraId="7AFA868A">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2、签订安全保密协议。</w:t>
      </w:r>
    </w:p>
    <w:p w14:paraId="78085E0E">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（2）项目实施开展中</w:t>
      </w:r>
    </w:p>
    <w:p w14:paraId="740D3E16">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1、对招标方系统配置、相关项目等信息进行严格的安全保密管理；</w:t>
      </w:r>
    </w:p>
    <w:p w14:paraId="3B13CDB3">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2、项目实施工具应经过严格测试和检验，确保不对被测试系统造成损失；</w:t>
      </w:r>
    </w:p>
    <w:p w14:paraId="01C721AD">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3、对被测单位信息系统发现的脆弱性和发生过的安全事件等威胁情况要控制知情范围；</w:t>
      </w:r>
    </w:p>
    <w:p w14:paraId="4F638E90">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4、对测试项目资产信息、项目文档进行严格的保密管理；</w:t>
      </w:r>
    </w:p>
    <w:p w14:paraId="3961044E">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（3）项目实施开展后</w:t>
      </w:r>
    </w:p>
    <w:p w14:paraId="59EEF495">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1、认真清退各种文档、资料和数据并予以销毁，确保工作过程中敏感数据不被泄漏；</w:t>
      </w:r>
    </w:p>
    <w:p w14:paraId="3F29E693">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2、在其他风险测试任务或宣传材料中不涉及被测单位的秘密、敏感情况。</w:t>
      </w:r>
    </w:p>
    <w:p w14:paraId="457F6533">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（六）售后服务</w:t>
      </w:r>
    </w:p>
    <w:p w14:paraId="435A4086">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提供安全咨询服务</w:t>
      </w:r>
    </w:p>
    <w:p w14:paraId="786A3D34">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（七）测评风险规避要求</w:t>
      </w:r>
    </w:p>
    <w:p w14:paraId="1EBADCA5">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项目开展工作涉及单位重要信息系统和数据，在项目实施过程中必须加强安全保密管理与风险控制。</w:t>
      </w:r>
    </w:p>
    <w:p w14:paraId="01AF5706">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指定项目经理为专人负责软件测试过程中的安全保密管理工作，对项目活动、项目人员以及相关文档和数据进行安全保密管理，对项目实施过程进行监督。</w:t>
      </w:r>
    </w:p>
    <w:p w14:paraId="3EAA33AF">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项目实施工作中可能出现的安全风险点，按照测试对象周密制定测试方法，根据被测试对象的不同采取相应的风险控制手段。不限于以下方法：</w:t>
      </w:r>
    </w:p>
    <w:p w14:paraId="228D8464">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（1）操作的申请和监护</w:t>
      </w:r>
    </w:p>
    <w:p w14:paraId="2A1CA335">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在实施过程中必须遵守相关操作章程，以防止敏感信息泄露和确保及时处理意外事件。</w:t>
      </w:r>
    </w:p>
    <w:p w14:paraId="27ADE88B">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（2）人员与数据管理</w:t>
      </w:r>
    </w:p>
    <w:p w14:paraId="55BEF07D">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必须高度重视信息保密工作，加强资料管理，确保人员可靠、稳定和可控。测试与被测试单位之间应签署长期保密协议，实施人员与被测试单位之间也要有相应的约束和控制措施，按国家有关要求做好保密工作。</w:t>
      </w:r>
    </w:p>
    <w:p w14:paraId="191CDD01">
      <w:pPr>
        <w:autoSpaceDE w:val="0"/>
        <w:autoSpaceDN w:val="0"/>
        <w:adjustRightInd w:val="0"/>
        <w:spacing w:line="540" w:lineRule="exact"/>
        <w:ind w:firstLine="560" w:firstLineChars="200"/>
        <w:jc w:val="left"/>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（3）厂商协作</w:t>
      </w:r>
    </w:p>
    <w:p w14:paraId="27AF586D">
      <w:pPr>
        <w:autoSpaceDE w:val="0"/>
        <w:autoSpaceDN w:val="0"/>
        <w:adjustRightInd w:val="0"/>
        <w:spacing w:line="540" w:lineRule="exact"/>
        <w:ind w:firstLine="560" w:firstLineChars="200"/>
        <w:jc w:val="left"/>
        <w:rPr>
          <w:rFonts w:ascii="Times New Roman" w:hAnsi="Times New Roman" w:eastAsia="华文仿宋" w:cs="仿宋_GB2312"/>
          <w:color w:val="000000"/>
          <w:sz w:val="28"/>
          <w:szCs w:val="22"/>
        </w:rPr>
      </w:pPr>
      <w:r>
        <w:rPr>
          <w:rFonts w:hint="eastAsia" w:ascii="Times New Roman" w:hAnsi="Times New Roman" w:eastAsia="仿宋_GB2312" w:cs="仿宋_GB2312"/>
          <w:color w:val="000000"/>
          <w:sz w:val="28"/>
          <w:szCs w:val="22"/>
        </w:rPr>
        <w:t>厂商需要提供各应用系统的名称、版本、开发语言等信息，在测试之前，分析可能存在的问题。</w:t>
      </w:r>
    </w:p>
    <w:p w14:paraId="50D01764">
      <w:pPr>
        <w:pStyle w:val="2"/>
        <w:numPr>
          <w:ilvl w:val="0"/>
          <w:numId w:val="2"/>
        </w:numPr>
        <w:spacing w:before="0" w:after="0" w:line="540" w:lineRule="exact"/>
        <w:ind w:firstLine="560" w:firstLineChars="200"/>
        <w:jc w:val="left"/>
        <w:rPr>
          <w:rFonts w:hint="eastAsia" w:ascii="Times New Roman" w:hAnsi="Times New Roman" w:eastAsia="黑体" w:cs="黑体"/>
          <w:b w:val="0"/>
          <w:color w:val="000000"/>
          <w:sz w:val="28"/>
          <w:szCs w:val="28"/>
          <w:lang w:val="zh-CN"/>
        </w:rPr>
      </w:pPr>
      <w:r>
        <w:rPr>
          <w:rFonts w:hint="eastAsia" w:ascii="Times New Roman" w:hAnsi="Times New Roman" w:eastAsia="黑体" w:cs="黑体"/>
          <w:b w:val="0"/>
          <w:color w:val="000000"/>
          <w:sz w:val="28"/>
          <w:szCs w:val="28"/>
          <w:lang w:val="zh-CN"/>
        </w:rPr>
        <w:t>商务要求</w:t>
      </w:r>
      <w:bookmarkEnd w:id="0"/>
    </w:p>
    <w:p w14:paraId="043602D2">
      <w:pPr>
        <w:pStyle w:val="16"/>
        <w:spacing w:line="540" w:lineRule="exact"/>
        <w:ind w:left="567" w:firstLine="0" w:firstLineChars="0"/>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（一）采购预算：人民币22.64万元，超此预算价为无效标。</w:t>
      </w:r>
    </w:p>
    <w:p w14:paraId="7D9B9647">
      <w:pPr>
        <w:pStyle w:val="16"/>
        <w:spacing w:line="540" w:lineRule="exact"/>
        <w:ind w:left="7" w:firstLine="560"/>
        <w:rPr>
          <w:rFonts w:hint="eastAsia" w:ascii="Times New Roman" w:hAnsi="Times New Roman" w:eastAsia="仿宋_GB2312" w:cs="仿宋_GB2312"/>
          <w:color w:val="000000"/>
          <w:sz w:val="28"/>
          <w:szCs w:val="22"/>
        </w:rPr>
      </w:pPr>
      <w:r>
        <w:rPr>
          <w:rFonts w:hint="eastAsia" w:ascii="Times New Roman" w:hAnsi="Times New Roman" w:eastAsia="仿宋_GB2312" w:cs="仿宋_GB2312"/>
          <w:color w:val="000000"/>
          <w:sz w:val="28"/>
          <w:szCs w:val="22"/>
        </w:rPr>
        <w:t>（二）服务期：在项目系统试运行阶段，完成整体测试工作，并出具公正权威的CMA、CNAS检测报告。</w:t>
      </w:r>
    </w:p>
    <w:p w14:paraId="59F1C826">
      <w:pPr>
        <w:pStyle w:val="16"/>
        <w:spacing w:line="540" w:lineRule="exact"/>
        <w:ind w:firstLine="560"/>
        <w:rPr>
          <w:rFonts w:hint="eastAsia" w:ascii="Times New Roman" w:hAnsi="Times New Roman" w:eastAsia="仿宋_GB2312" w:cs="仿宋_GB2312"/>
          <w:color w:val="000000"/>
          <w:sz w:val="28"/>
          <w:szCs w:val="22"/>
          <w:lang w:val="zh-CN"/>
        </w:rPr>
      </w:pPr>
      <w:r>
        <w:rPr>
          <w:rFonts w:hint="eastAsia" w:ascii="Times New Roman" w:hAnsi="Times New Roman" w:eastAsia="仿宋_GB2312" w:cs="仿宋_GB2312"/>
          <w:color w:val="000000"/>
          <w:sz w:val="28"/>
          <w:szCs w:val="22"/>
        </w:rPr>
        <w:t>（三）付款方式：按合同约定。</w:t>
      </w:r>
    </w:p>
    <w:p w14:paraId="7957E46D">
      <w:pPr>
        <w:pStyle w:val="16"/>
        <w:spacing w:line="540" w:lineRule="exact"/>
        <w:ind w:firstLine="560"/>
        <w:rPr>
          <w:rFonts w:ascii="Times New Roman" w:hAnsi="Times New Roman" w:eastAsia="华文仿宋" w:cs="仿宋_GB2312"/>
          <w:sz w:val="28"/>
          <w:szCs w:val="28"/>
          <w:lang w:val="zh-CN"/>
        </w:rPr>
      </w:pPr>
      <w:bookmarkStart w:id="1" w:name="_GoBack"/>
      <w:bookmarkEnd w:id="1"/>
    </w:p>
    <w:sectPr>
      <w:footerReference r:id="rId5" w:type="first"/>
      <w:footerReference r:id="rId3" w:type="default"/>
      <w:footerReference r:id="rId4" w:type="even"/>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2180DC6-B35E-43AD-9B55-1097A768FD8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HiddenHorzOCR">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仿宋">
    <w:panose1 w:val="02010600040101010101"/>
    <w:charset w:val="86"/>
    <w:family w:val="auto"/>
    <w:pitch w:val="default"/>
    <w:sig w:usb0="00000287" w:usb1="080F0000" w:usb2="00000000" w:usb3="00000000" w:csb0="0004009F" w:csb1="DFD70000"/>
    <w:embedRegular r:id="rId2" w:fontKey="{CF8D3AAE-EB12-4556-8BDD-DD2CDF3D14F4}"/>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3" w:fontKey="{3289BCF0-B81E-413C-B895-8C4B2DBCF6C4}"/>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_GBK">
    <w:panose1 w:val="02000000000000000000"/>
    <w:charset w:val="86"/>
    <w:family w:val="auto"/>
    <w:pitch w:val="default"/>
    <w:sig w:usb0="A00002BF" w:usb1="38CF7CFA" w:usb2="00082016" w:usb3="00000000" w:csb0="00040001" w:csb1="00000000"/>
  </w:font>
  <w:font w:name="华文新魏">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汉仪中黑 197">
    <w:panose1 w:val="00020600040101010101"/>
    <w:charset w:val="86"/>
    <w:family w:val="auto"/>
    <w:pitch w:val="default"/>
    <w:sig w:usb0="A00002BF" w:usb1="18EF7CFA" w:usb2="00000016" w:usb3="00000000" w:csb0="0004009F" w:csb1="00000000"/>
  </w:font>
  <w:font w:name="隶书">
    <w:panose1 w:val="0201050906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Active Regular">
    <w:panose1 w:val="00000000000000000000"/>
    <w:charset w:val="00"/>
    <w:family w:val="auto"/>
    <w:pitch w:val="default"/>
    <w:sig w:usb0="800000AF" w:usb1="1000204A" w:usb2="00000000" w:usb3="00000000" w:csb0="00000193"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8129D">
    <w:pPr>
      <w:pStyle w:val="8"/>
      <w:jc w:val="center"/>
      <w:rPr>
        <w:rFonts w:hint="eastAsia" w:ascii="宋体" w:hAnsi="宋体" w:eastAsia="宋体" w:cs="宋体"/>
        <w:sz w:val="28"/>
      </w:rPr>
    </w:pPr>
    <w:r>
      <w:rPr>
        <w:rFonts w:hint="eastAsia" w:ascii="宋体" w:hAnsi="宋体" w:eastAsia="宋体" w:cs="宋体"/>
        <w:sz w:val="28"/>
      </w:rPr>
      <w:t>—</w:t>
    </w:r>
    <w:r>
      <w:rPr>
        <w:rFonts w:hint="eastAsia" w:ascii="宋体" w:hAnsi="宋体" w:eastAsia="宋体" w:cs="宋体"/>
        <w:sz w:val="28"/>
      </w:rPr>
      <w:fldChar w:fldCharType="begin"/>
    </w:r>
    <w:r>
      <w:rPr>
        <w:rFonts w:hint="eastAsia" w:ascii="宋体" w:hAnsi="宋体" w:eastAsia="宋体" w:cs="宋体"/>
        <w:sz w:val="28"/>
      </w:rPr>
      <w:instrText xml:space="preserve"> PAGE \* Arabic \* MERGEFORMAT </w:instrText>
    </w:r>
    <w:r>
      <w:rPr>
        <w:rFonts w:hint="eastAsia" w:ascii="宋体" w:hAnsi="宋体" w:eastAsia="宋体" w:cs="宋体"/>
        <w:sz w:val="28"/>
      </w:rPr>
      <w:fldChar w:fldCharType="separate"/>
    </w:r>
    <w:r>
      <w:rPr>
        <w:rFonts w:hint="eastAsia" w:ascii="宋体" w:hAnsi="宋体" w:eastAsia="宋体" w:cs="宋体"/>
        <w:sz w:val="28"/>
      </w:rPr>
      <w:t>1</w:t>
    </w:r>
    <w:r>
      <w:rPr>
        <w:rFonts w:hint="eastAsia" w:ascii="宋体" w:hAnsi="宋体" w:eastAsia="宋体" w:cs="宋体"/>
        <w:sz w:val="28"/>
      </w:rPr>
      <w:fldChar w:fldCharType="end"/>
    </w:r>
    <w:r>
      <w:rPr>
        <w:rFonts w:hint="eastAsia" w:ascii="宋体" w:hAnsi="宋体" w:eastAsia="宋体" w:cs="宋体"/>
        <w:sz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99DD8">
    <w:pPr>
      <w:pStyle w:val="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DA09F">
    <w:pPr>
      <w:pStyle w:val="8"/>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182658"/>
    <w:multiLevelType w:val="singleLevel"/>
    <w:tmpl w:val="2F182658"/>
    <w:lvl w:ilvl="0" w:tentative="0">
      <w:start w:val="1"/>
      <w:numFmt w:val="chineseCounting"/>
      <w:suff w:val="nothing"/>
      <w:lvlText w:val="%1、"/>
      <w:lvlJc w:val="left"/>
      <w:rPr>
        <w:rFonts w:hint="eastAsia"/>
      </w:rPr>
    </w:lvl>
  </w:abstractNum>
  <w:abstractNum w:abstractNumId="1">
    <w:nsid w:val="575B3F24"/>
    <w:multiLevelType w:val="multilevel"/>
    <w:tmpl w:val="575B3F24"/>
    <w:lvl w:ilvl="0" w:tentative="0">
      <w:start w:val="1"/>
      <w:numFmt w:val="chineseCounting"/>
      <w:pStyle w:val="3"/>
      <w:suff w:val="nothing"/>
      <w:lvlText w:val="%1、"/>
      <w:lvlJc w:val="left"/>
      <w:pPr>
        <w:ind w:left="0" w:firstLine="0"/>
      </w:pPr>
      <w:rPr>
        <w:rFonts w:hint="eastAsia"/>
      </w:rPr>
    </w:lvl>
    <w:lvl w:ilvl="1" w:tentative="0">
      <w:start w:val="1"/>
      <w:numFmt w:val="chineseCounting"/>
      <w:pStyle w:val="2"/>
      <w:suff w:val="nothing"/>
      <w:lvlText w:val="（%2）"/>
      <w:lvlJc w:val="left"/>
      <w:pPr>
        <w:ind w:left="0" w:firstLine="0"/>
      </w:pPr>
      <w:rPr>
        <w:rFonts w:hint="eastAsia" w:ascii="仿宋" w:hAnsi="仿宋" w:eastAsia="仿宋" w:cs="仿宋"/>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YzEwYmQ3ZmRlOGRkNjRmOTNkM2JiMjZlMjNkNWIifQ=="/>
  </w:docVars>
  <w:rsids>
    <w:rsidRoot w:val="0E065AE0"/>
    <w:rsid w:val="00024874"/>
    <w:rsid w:val="00112552"/>
    <w:rsid w:val="00392FD6"/>
    <w:rsid w:val="00731A9B"/>
    <w:rsid w:val="008319BE"/>
    <w:rsid w:val="00C23587"/>
    <w:rsid w:val="00D9354B"/>
    <w:rsid w:val="00DA05EA"/>
    <w:rsid w:val="00E7262C"/>
    <w:rsid w:val="00F0420E"/>
    <w:rsid w:val="00FF1D43"/>
    <w:rsid w:val="031E0A42"/>
    <w:rsid w:val="044F0C47"/>
    <w:rsid w:val="0BF60370"/>
    <w:rsid w:val="0E065AE0"/>
    <w:rsid w:val="1FC0119D"/>
    <w:rsid w:val="26C31E7E"/>
    <w:rsid w:val="26C470AD"/>
    <w:rsid w:val="2C1319FF"/>
    <w:rsid w:val="32563BA4"/>
    <w:rsid w:val="35E26CF6"/>
    <w:rsid w:val="390C2146"/>
    <w:rsid w:val="3D001F3D"/>
    <w:rsid w:val="498B7451"/>
    <w:rsid w:val="52CC32A3"/>
    <w:rsid w:val="5B790309"/>
    <w:rsid w:val="60BA58A2"/>
    <w:rsid w:val="77D07574"/>
    <w:rsid w:val="78D16A46"/>
    <w:rsid w:val="7B231B57"/>
    <w:rsid w:val="7B777F9E"/>
    <w:rsid w:val="F7FFDD31"/>
    <w:rsid w:val="FBF5AC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numPr>
        <w:ilvl w:val="0"/>
        <w:numId w:val="1"/>
      </w:numPr>
      <w:spacing w:before="340" w:after="330" w:line="576" w:lineRule="auto"/>
      <w:outlineLvl w:val="0"/>
    </w:pPr>
    <w:rPr>
      <w:rFonts w:eastAsia="黑体"/>
      <w:b/>
      <w:kern w:val="44"/>
      <w:sz w:val="44"/>
    </w:rPr>
  </w:style>
  <w:style w:type="paragraph" w:styleId="2">
    <w:name w:val="heading 2"/>
    <w:basedOn w:val="1"/>
    <w:next w:val="1"/>
    <w:unhideWhenUsed/>
    <w:qFormat/>
    <w:uiPriority w:val="0"/>
    <w:pPr>
      <w:keepNext/>
      <w:keepLines/>
      <w:numPr>
        <w:ilvl w:val="1"/>
        <w:numId w:val="1"/>
      </w:numPr>
      <w:spacing w:before="260" w:after="260" w:line="413" w:lineRule="auto"/>
      <w:outlineLvl w:val="1"/>
    </w:pPr>
    <w:rPr>
      <w:rFonts w:ascii="Arial" w:hAnsi="Arial" w:eastAsia="仿宋"/>
      <w:b/>
      <w:sz w:val="32"/>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Normal Indent"/>
    <w:basedOn w:val="1"/>
    <w:next w:val="1"/>
    <w:link w:val="20"/>
    <w:qFormat/>
    <w:uiPriority w:val="0"/>
    <w:pPr>
      <w:ind w:firstLine="420" w:firstLineChars="200"/>
    </w:pPr>
    <w:rPr>
      <w:rFonts w:ascii="Times New Roman" w:hAnsi="Times New Roman" w:eastAsia="宋体" w:cs="Times New Roman"/>
      <w:sz w:val="28"/>
    </w:rPr>
  </w:style>
  <w:style w:type="paragraph" w:styleId="5">
    <w:name w:val="annotation text"/>
    <w:basedOn w:val="1"/>
    <w:qFormat/>
    <w:uiPriority w:val="0"/>
    <w:pPr>
      <w:jc w:val="left"/>
    </w:pPr>
  </w:style>
  <w:style w:type="paragraph" w:styleId="6">
    <w:name w:val="Body Text"/>
    <w:basedOn w:val="1"/>
    <w:next w:val="1"/>
    <w:qFormat/>
    <w:uiPriority w:val="0"/>
    <w:pPr>
      <w:spacing w:after="120"/>
    </w:pPr>
  </w:style>
  <w:style w:type="paragraph" w:styleId="7">
    <w:name w:val="Plain Text"/>
    <w:basedOn w:val="1"/>
    <w:qFormat/>
    <w:uiPriority w:val="0"/>
    <w:rPr>
      <w:rFonts w:ascii="宋体" w:hAnsi="Courier New"/>
      <w:szCs w:val="21"/>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next w:val="1"/>
    <w:autoRedefine/>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paragraph" w:customStyle="1" w:styleId="14">
    <w:name w:val="Body Text First Indent 21"/>
    <w:basedOn w:val="15"/>
    <w:qFormat/>
    <w:uiPriority w:val="0"/>
  </w:style>
  <w:style w:type="paragraph" w:customStyle="1" w:styleId="15">
    <w:name w:val="Body Text Indent1"/>
    <w:basedOn w:val="1"/>
    <w:qFormat/>
    <w:uiPriority w:val="0"/>
    <w:pPr>
      <w:spacing w:after="120"/>
      <w:ind w:left="200" w:leftChars="200"/>
    </w:pPr>
    <w:rPr>
      <w:rFonts w:eastAsia="宋体"/>
    </w:rPr>
  </w:style>
  <w:style w:type="paragraph" w:styleId="16">
    <w:name w:val="List Paragraph"/>
    <w:basedOn w:val="1"/>
    <w:qFormat/>
    <w:uiPriority w:val="34"/>
    <w:pPr>
      <w:ind w:firstLine="420" w:firstLineChars="200"/>
    </w:pPr>
  </w:style>
  <w:style w:type="paragraph" w:customStyle="1" w:styleId="17">
    <w:name w:val="段"/>
    <w:qFormat/>
    <w:uiPriority w:val="0"/>
    <w:pPr>
      <w:tabs>
        <w:tab w:val="left" w:pos="840"/>
      </w:tabs>
      <w:autoSpaceDE w:val="0"/>
      <w:autoSpaceDN w:val="0"/>
      <w:ind w:left="840" w:firstLine="200" w:firstLineChars="200"/>
      <w:jc w:val="both"/>
    </w:pPr>
    <w:rPr>
      <w:rFonts w:ascii="宋体" w:hAnsi="Times New Roman" w:eastAsia="宋体" w:cs="Times New Roman"/>
      <w:sz w:val="21"/>
      <w:lang w:val="en-US" w:eastAsia="zh-CN" w:bidi="ar-SA"/>
    </w:rPr>
  </w:style>
  <w:style w:type="paragraph" w:customStyle="1" w:styleId="18">
    <w:name w:val="标书正文"/>
    <w:basedOn w:val="1"/>
    <w:qFormat/>
    <w:uiPriority w:val="0"/>
    <w:pPr>
      <w:spacing w:line="360" w:lineRule="auto"/>
      <w:ind w:firstLine="200" w:firstLineChars="200"/>
      <w:jc w:val="left"/>
    </w:pPr>
    <w:rPr>
      <w:color w:val="000000"/>
      <w:szCs w:val="28"/>
    </w:rPr>
  </w:style>
  <w:style w:type="character" w:customStyle="1" w:styleId="19">
    <w:name w:val="font01"/>
    <w:qFormat/>
    <w:uiPriority w:val="0"/>
    <w:rPr>
      <w:rFonts w:ascii="HiddenHorzOCR" w:hAnsi="HiddenHorzOCR" w:eastAsia="HiddenHorzOCR" w:cs="HiddenHorzOCR"/>
      <w:color w:val="6E6E74"/>
      <w:sz w:val="24"/>
      <w:szCs w:val="24"/>
      <w:u w:val="none"/>
    </w:rPr>
  </w:style>
  <w:style w:type="character" w:customStyle="1" w:styleId="20">
    <w:name w:val="正文缩进 字符"/>
    <w:link w:val="4"/>
    <w:qFormat/>
    <w:uiPriority w:val="0"/>
    <w:rPr>
      <w:kern w:val="2"/>
      <w:sz w:val="28"/>
      <w:szCs w:val="24"/>
    </w:rPr>
  </w:style>
  <w:style w:type="character" w:customStyle="1" w:styleId="21">
    <w:name w:val="正文标准样式ty Char2"/>
    <w:link w:val="22"/>
    <w:qFormat/>
    <w:uiPriority w:val="0"/>
    <w:rPr>
      <w:rFonts w:cs="宋体"/>
      <w:kern w:val="2"/>
      <w:sz w:val="24"/>
    </w:rPr>
  </w:style>
  <w:style w:type="paragraph" w:customStyle="1" w:styleId="22">
    <w:name w:val="正文标准样式ty"/>
    <w:basedOn w:val="1"/>
    <w:link w:val="21"/>
    <w:qFormat/>
    <w:uiPriority w:val="0"/>
    <w:pPr>
      <w:spacing w:line="360" w:lineRule="auto"/>
      <w:ind w:firstLine="480" w:firstLineChars="200"/>
    </w:pPr>
    <w:rPr>
      <w:rFonts w:ascii="Times New Roman" w:hAnsi="Times New Roman" w:eastAsia="宋体" w:cs="宋体"/>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2087</Words>
  <Characters>2173</Characters>
  <Lines>41</Lines>
  <Paragraphs>11</Paragraphs>
  <TotalTime>12</TotalTime>
  <ScaleCrop>false</ScaleCrop>
  <LinksUpToDate>false</LinksUpToDate>
  <CharactersWithSpaces>2173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2023-12-19T10:10:00Z</dcterms:created>
  <dc:creator>厉珧</dc:creator>
  <cp:lastModifiedBy>Z.oliver</cp:lastModifiedBy>
  <dcterms:modified xsi:type="dcterms:W3CDTF">2025-02-18T00:04:48Z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80DFB97558A040B48F0574917272BDF5_13</vt:lpwstr>
  </property>
  <property fmtid="{D5CDD505-2E9C-101B-9397-08002B2CF9AE}" pid="4" name="KSOTemplateDocerSaveRecord">
    <vt:lpwstr>eyJoZGlkIjoiNTgzYzExOTc5MzJjNTJkMTY3Yzk3YWZiZmEzNTJkZTgiLCJ1c2VySWQiOiIyNTI3ODYwNzQifQ==</vt:lpwstr>
  </property>
</Properties>
</file>